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217" w:rsidRDefault="00B01217" w:rsidP="00B01217">
      <w:pPr>
        <w:pStyle w:val="Title"/>
        <w:rPr>
          <w:rFonts w:ascii="Times New Roman" w:eastAsia="Times New Roman" w:hAnsi="Times New Roman" w:cs="Times New Roman"/>
        </w:rPr>
      </w:pPr>
      <w:bookmarkStart w:id="0" w:name="_heading=h.gjdgxs" w:colFirst="0" w:colLast="0"/>
      <w:bookmarkStart w:id="1" w:name="_GoBack"/>
      <w:bookmarkEnd w:id="0"/>
      <w:bookmarkEnd w:id="1"/>
    </w:p>
    <w:p w:rsidR="00B01217" w:rsidRPr="00630440" w:rsidRDefault="00B01217" w:rsidP="00B01217">
      <w:pPr>
        <w:pStyle w:val="Title"/>
        <w:jc w:val="center"/>
        <w:rPr>
          <w:rFonts w:cs="Times New Roman"/>
          <w:sz w:val="24"/>
          <w:szCs w:val="24"/>
        </w:rPr>
      </w:pPr>
      <w:r w:rsidRPr="00630440">
        <w:rPr>
          <w:rFonts w:cs="Times New Roman"/>
          <w:sz w:val="24"/>
          <w:szCs w:val="24"/>
        </w:rPr>
        <w:t>Kenya Multisite Integrated Sero</w:t>
      </w:r>
      <w:r>
        <w:rPr>
          <w:rFonts w:cs="Times New Roman"/>
          <w:sz w:val="24"/>
          <w:szCs w:val="24"/>
        </w:rPr>
        <w:t>-</w:t>
      </w:r>
      <w:r w:rsidRPr="00630440">
        <w:rPr>
          <w:rFonts w:cs="Times New Roman"/>
          <w:sz w:val="24"/>
          <w:szCs w:val="24"/>
        </w:rPr>
        <w:t>surveillance of COVID-19 and Other Pathogens (KEMIS)</w:t>
      </w:r>
    </w:p>
    <w:p w:rsidR="00B01217" w:rsidRDefault="00B01217" w:rsidP="00B01217"/>
    <w:p w:rsidR="00B01217" w:rsidRDefault="00B01217" w:rsidP="00B01217"/>
    <w:p w:rsidR="00B01217" w:rsidRDefault="00B01217" w:rsidP="00B01217">
      <w:pPr>
        <w:jc w:val="center"/>
      </w:pPr>
    </w:p>
    <w:p w:rsidR="00B01217" w:rsidRDefault="00B01217" w:rsidP="00B01217">
      <w:pPr>
        <w:jc w:val="center"/>
        <w:rPr>
          <w:b/>
        </w:rPr>
      </w:pPr>
      <w:r>
        <w:rPr>
          <w:b/>
        </w:rPr>
        <w:t xml:space="preserve">Technical </w:t>
      </w:r>
      <w:r w:rsidRPr="00DF230A">
        <w:rPr>
          <w:b/>
        </w:rPr>
        <w:t>Report</w:t>
      </w:r>
      <w:r>
        <w:rPr>
          <w:b/>
        </w:rPr>
        <w:t xml:space="preserve"> for the NUHDSS Site</w:t>
      </w:r>
    </w:p>
    <w:p w:rsidR="00B01217" w:rsidRPr="00DF230A" w:rsidRDefault="00B01217" w:rsidP="00B01217">
      <w:pPr>
        <w:jc w:val="center"/>
        <w:rPr>
          <w:b/>
        </w:rPr>
      </w:pPr>
      <w:r>
        <w:rPr>
          <w:b/>
        </w:rPr>
        <w:t>(Round 3: September - December 2022)</w:t>
      </w:r>
    </w:p>
    <w:p w:rsidR="00B01217" w:rsidRDefault="00B01217" w:rsidP="00B01217"/>
    <w:p w:rsidR="00B01217" w:rsidRDefault="00B01217" w:rsidP="00B01217"/>
    <w:p w:rsidR="00B01217" w:rsidRDefault="00B01217" w:rsidP="00B01217"/>
    <w:p w:rsidR="00B01217" w:rsidRPr="00DF230A" w:rsidRDefault="00B01217" w:rsidP="00B01217">
      <w:pPr>
        <w:jc w:val="center"/>
        <w:rPr>
          <w:b/>
        </w:rPr>
      </w:pPr>
      <w:r w:rsidRPr="00DF230A">
        <w:rPr>
          <w:b/>
        </w:rPr>
        <w:t>African Population and Health Research Center (APHRC)</w:t>
      </w:r>
    </w:p>
    <w:p w:rsidR="00B01217" w:rsidRDefault="00B01217" w:rsidP="00B01217"/>
    <w:p w:rsidR="00B01217" w:rsidRDefault="00B01217" w:rsidP="00B01217"/>
    <w:p w:rsidR="00B01217" w:rsidRDefault="00B01217" w:rsidP="00B01217"/>
    <w:p w:rsidR="00B01217" w:rsidRDefault="00B01217" w:rsidP="00B01217">
      <w:r>
        <w:t xml:space="preserve">Research Team: </w:t>
      </w:r>
    </w:p>
    <w:p w:rsidR="00B01217" w:rsidRDefault="00B01217" w:rsidP="00B01217">
      <w:r>
        <w:t>Dr. Abdhalah K. Ziraba</w:t>
      </w:r>
    </w:p>
    <w:p w:rsidR="00B01217" w:rsidRDefault="00B01217" w:rsidP="00B01217">
      <w:r>
        <w:t>Ms. Maurine A. Ng’oda</w:t>
      </w:r>
    </w:p>
    <w:p w:rsidR="00B01217" w:rsidRDefault="00B01217" w:rsidP="00B01217">
      <w:r>
        <w:t>Ms. Salma Musa</w:t>
      </w:r>
    </w:p>
    <w:p w:rsidR="00B01217" w:rsidRDefault="00B01217" w:rsidP="00B01217">
      <w:r>
        <w:t>Ms. Anne Njeri</w:t>
      </w:r>
    </w:p>
    <w:p w:rsidR="00B01217" w:rsidRDefault="00B01217" w:rsidP="00B01217"/>
    <w:p w:rsidR="00B01217" w:rsidRDefault="00B01217" w:rsidP="00B01217">
      <w:pPr>
        <w:rPr>
          <w:highlight w:val="green"/>
        </w:rPr>
      </w:pPr>
      <w:r>
        <w:t xml:space="preserve">Funder: </w:t>
      </w:r>
      <w:r w:rsidRPr="00630440">
        <w:rPr>
          <w:rFonts w:ascii="Times New Roman" w:eastAsia="Times New Roman" w:hAnsi="Times New Roman" w:cs="Times New Roman"/>
          <w:sz w:val="24"/>
          <w:szCs w:val="24"/>
        </w:rPr>
        <w:t>Bill and Melinda Gates Foundation</w:t>
      </w:r>
      <w:r>
        <w:t xml:space="preserve"> (BMGF) </w:t>
      </w:r>
    </w:p>
    <w:p w:rsidR="00B01217" w:rsidRDefault="00B01217" w:rsidP="00B01217"/>
    <w:p w:rsidR="00B01217" w:rsidRDefault="00B01217" w:rsidP="00B01217"/>
    <w:p w:rsidR="00B01217" w:rsidRDefault="00B01217" w:rsidP="00B01217">
      <w:pPr>
        <w:pStyle w:val="Heading1"/>
        <w:tabs>
          <w:tab w:val="left" w:pos="8090"/>
        </w:tabs>
        <w:jc w:val="center"/>
        <w:rPr>
          <w:rFonts w:ascii="Times New Roman" w:hAnsi="Times New Roman" w:cs="Times New Roman"/>
          <w:sz w:val="24"/>
          <w:szCs w:val="24"/>
        </w:rPr>
        <w:sectPr w:rsidR="00B01217" w:rsidSect="00FC3099">
          <w:pgSz w:w="11906" w:h="16838"/>
          <w:pgMar w:top="1440" w:right="1440" w:bottom="1440" w:left="1440" w:header="708" w:footer="708" w:gutter="0"/>
          <w:pgNumType w:fmt="lowerRoman"/>
          <w:cols w:space="720"/>
        </w:sectPr>
      </w:pPr>
      <w:bookmarkStart w:id="2" w:name="_Toc76551554"/>
    </w:p>
    <w:p w:rsidR="00B01217" w:rsidRPr="00C669A8" w:rsidRDefault="00B01217" w:rsidP="00B01217">
      <w:pPr>
        <w:pStyle w:val="Heading1"/>
        <w:tabs>
          <w:tab w:val="left" w:pos="8090"/>
        </w:tabs>
        <w:jc w:val="center"/>
        <w:rPr>
          <w:rFonts w:ascii="Times New Roman" w:hAnsi="Times New Roman" w:cs="Times New Roman"/>
          <w:sz w:val="24"/>
          <w:szCs w:val="24"/>
        </w:rPr>
      </w:pPr>
      <w:bookmarkStart w:id="3" w:name="_Toc112709806"/>
      <w:r w:rsidRPr="00C669A8">
        <w:rPr>
          <w:rFonts w:ascii="Times New Roman" w:hAnsi="Times New Roman" w:cs="Times New Roman"/>
          <w:sz w:val="24"/>
          <w:szCs w:val="24"/>
        </w:rPr>
        <w:lastRenderedPageBreak/>
        <w:t>Table of contents</w:t>
      </w:r>
      <w:bookmarkEnd w:id="2"/>
      <w:bookmarkEnd w:id="3"/>
    </w:p>
    <w:sdt>
      <w:sdtPr>
        <w:rPr>
          <w:rFonts w:ascii="Calibri" w:eastAsia="Calibri" w:hAnsi="Calibri" w:cs="Calibri"/>
          <w:color w:val="auto"/>
          <w:sz w:val="22"/>
          <w:szCs w:val="22"/>
          <w:lang w:val="en-GB" w:eastAsia="en-GB"/>
        </w:rPr>
        <w:id w:val="66306961"/>
        <w:docPartObj>
          <w:docPartGallery w:val="Table of Contents"/>
          <w:docPartUnique/>
        </w:docPartObj>
      </w:sdtPr>
      <w:sdtEndPr>
        <w:rPr>
          <w:b/>
          <w:bCs/>
          <w:noProof/>
        </w:rPr>
      </w:sdtEndPr>
      <w:sdtContent>
        <w:p w:rsidR="00B01217" w:rsidRDefault="00B01217" w:rsidP="00B01217">
          <w:pPr>
            <w:pStyle w:val="TOCHeading"/>
          </w:pPr>
        </w:p>
        <w:p w:rsidR="00B01217" w:rsidRDefault="00B01217" w:rsidP="00B01217">
          <w:pPr>
            <w:pStyle w:val="TOC1"/>
            <w:tabs>
              <w:tab w:val="right" w:leader="dot" w:pos="9016"/>
            </w:tabs>
            <w:rPr>
              <w:rFonts w:asciiTheme="minorHAnsi" w:eastAsiaTheme="minorEastAsia" w:hAnsiTheme="minorHAnsi" w:cstheme="minorBidi"/>
              <w:noProof/>
              <w:lang w:val="en-US" w:eastAsia="en-US"/>
            </w:rPr>
          </w:pPr>
          <w:r>
            <w:fldChar w:fldCharType="begin"/>
          </w:r>
          <w:r>
            <w:instrText xml:space="preserve"> TOC \o "1-3" \h \z \u </w:instrText>
          </w:r>
          <w:r>
            <w:fldChar w:fldCharType="separate"/>
          </w:r>
          <w:hyperlink w:anchor="_Toc112709806" w:history="1">
            <w:r w:rsidRPr="0013514D">
              <w:rPr>
                <w:rStyle w:val="Hyperlink"/>
                <w:rFonts w:ascii="Times New Roman" w:hAnsi="Times New Roman" w:cs="Times New Roman"/>
                <w:noProof/>
              </w:rPr>
              <w:t>Table of contents</w:t>
            </w:r>
            <w:r>
              <w:rPr>
                <w:noProof/>
                <w:webHidden/>
              </w:rPr>
              <w:tab/>
            </w:r>
            <w:r>
              <w:rPr>
                <w:noProof/>
                <w:webHidden/>
              </w:rPr>
              <w:fldChar w:fldCharType="begin"/>
            </w:r>
            <w:r>
              <w:rPr>
                <w:noProof/>
                <w:webHidden/>
              </w:rPr>
              <w:instrText xml:space="preserve"> PAGEREF _Toc112709806 \h </w:instrText>
            </w:r>
            <w:r>
              <w:rPr>
                <w:noProof/>
                <w:webHidden/>
              </w:rPr>
            </w:r>
            <w:r>
              <w:rPr>
                <w:noProof/>
                <w:webHidden/>
              </w:rPr>
              <w:fldChar w:fldCharType="separate"/>
            </w:r>
            <w:r>
              <w:rPr>
                <w:noProof/>
                <w:webHidden/>
              </w:rPr>
              <w:t>ii</w:t>
            </w:r>
            <w:r>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07" w:history="1">
            <w:r w:rsidR="00B01217" w:rsidRPr="0013514D">
              <w:rPr>
                <w:rStyle w:val="Hyperlink"/>
                <w:noProof/>
              </w:rPr>
              <w:t>Table of figures</w:t>
            </w:r>
            <w:r w:rsidR="00B01217">
              <w:rPr>
                <w:noProof/>
                <w:webHidden/>
              </w:rPr>
              <w:tab/>
            </w:r>
            <w:r w:rsidR="00B01217">
              <w:rPr>
                <w:noProof/>
                <w:webHidden/>
              </w:rPr>
              <w:fldChar w:fldCharType="begin"/>
            </w:r>
            <w:r w:rsidR="00B01217">
              <w:rPr>
                <w:noProof/>
                <w:webHidden/>
              </w:rPr>
              <w:instrText xml:space="preserve"> PAGEREF _Toc112709807 \h </w:instrText>
            </w:r>
            <w:r w:rsidR="00B01217">
              <w:rPr>
                <w:noProof/>
                <w:webHidden/>
              </w:rPr>
            </w:r>
            <w:r w:rsidR="00B01217">
              <w:rPr>
                <w:noProof/>
                <w:webHidden/>
              </w:rPr>
              <w:fldChar w:fldCharType="separate"/>
            </w:r>
            <w:r w:rsidR="00B01217">
              <w:rPr>
                <w:noProof/>
                <w:webHidden/>
              </w:rPr>
              <w:t>iii</w:t>
            </w:r>
            <w:r w:rsidR="00B01217">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08" w:history="1">
            <w:r w:rsidR="00B01217" w:rsidRPr="0013514D">
              <w:rPr>
                <w:rStyle w:val="Hyperlink"/>
                <w:noProof/>
              </w:rPr>
              <w:t>List of tables</w:t>
            </w:r>
            <w:r w:rsidR="00B01217">
              <w:rPr>
                <w:noProof/>
                <w:webHidden/>
              </w:rPr>
              <w:tab/>
            </w:r>
            <w:r w:rsidR="00B01217">
              <w:rPr>
                <w:noProof/>
                <w:webHidden/>
              </w:rPr>
              <w:fldChar w:fldCharType="begin"/>
            </w:r>
            <w:r w:rsidR="00B01217">
              <w:rPr>
                <w:noProof/>
                <w:webHidden/>
              </w:rPr>
              <w:instrText xml:space="preserve"> PAGEREF _Toc112709808 \h </w:instrText>
            </w:r>
            <w:r w:rsidR="00B01217">
              <w:rPr>
                <w:noProof/>
                <w:webHidden/>
              </w:rPr>
            </w:r>
            <w:r w:rsidR="00B01217">
              <w:rPr>
                <w:noProof/>
                <w:webHidden/>
              </w:rPr>
              <w:fldChar w:fldCharType="separate"/>
            </w:r>
            <w:r w:rsidR="00B01217">
              <w:rPr>
                <w:noProof/>
                <w:webHidden/>
              </w:rPr>
              <w:t>iv</w:t>
            </w:r>
            <w:r w:rsidR="00B01217">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09" w:history="1">
            <w:r w:rsidR="00B01217" w:rsidRPr="0013514D">
              <w:rPr>
                <w:rStyle w:val="Hyperlink"/>
                <w:rFonts w:ascii="Times New Roman" w:hAnsi="Times New Roman" w:cs="Times New Roman"/>
                <w:noProof/>
              </w:rPr>
              <w:t>List of acronyms</w:t>
            </w:r>
            <w:r w:rsidR="00B01217">
              <w:rPr>
                <w:noProof/>
                <w:webHidden/>
              </w:rPr>
              <w:tab/>
            </w:r>
            <w:r w:rsidR="00B01217">
              <w:rPr>
                <w:noProof/>
                <w:webHidden/>
              </w:rPr>
              <w:fldChar w:fldCharType="begin"/>
            </w:r>
            <w:r w:rsidR="00B01217">
              <w:rPr>
                <w:noProof/>
                <w:webHidden/>
              </w:rPr>
              <w:instrText xml:space="preserve"> PAGEREF _Toc112709809 \h </w:instrText>
            </w:r>
            <w:r w:rsidR="00B01217">
              <w:rPr>
                <w:noProof/>
                <w:webHidden/>
              </w:rPr>
            </w:r>
            <w:r w:rsidR="00B01217">
              <w:rPr>
                <w:noProof/>
                <w:webHidden/>
              </w:rPr>
              <w:fldChar w:fldCharType="separate"/>
            </w:r>
            <w:r w:rsidR="00B01217">
              <w:rPr>
                <w:noProof/>
                <w:webHidden/>
              </w:rPr>
              <w:t>v</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10" w:history="1">
            <w:r w:rsidR="00B01217" w:rsidRPr="0013514D">
              <w:rPr>
                <w:rStyle w:val="Hyperlink"/>
                <w:rFonts w:ascii="Times New Roman" w:hAnsi="Times New Roman" w:cs="Times New Roman"/>
                <w:noProof/>
              </w:rPr>
              <w:t>1.1 Background</w:t>
            </w:r>
            <w:r w:rsidR="00B01217">
              <w:rPr>
                <w:noProof/>
                <w:webHidden/>
              </w:rPr>
              <w:tab/>
            </w:r>
            <w:r w:rsidR="00B01217">
              <w:rPr>
                <w:noProof/>
                <w:webHidden/>
              </w:rPr>
              <w:fldChar w:fldCharType="begin"/>
            </w:r>
            <w:r w:rsidR="00B01217">
              <w:rPr>
                <w:noProof/>
                <w:webHidden/>
              </w:rPr>
              <w:instrText xml:space="preserve"> PAGEREF _Toc112709810 \h </w:instrText>
            </w:r>
            <w:r w:rsidR="00B01217">
              <w:rPr>
                <w:noProof/>
                <w:webHidden/>
              </w:rPr>
            </w:r>
            <w:r w:rsidR="00B01217">
              <w:rPr>
                <w:noProof/>
                <w:webHidden/>
              </w:rPr>
              <w:fldChar w:fldCharType="separate"/>
            </w:r>
            <w:r w:rsidR="00B01217">
              <w:rPr>
                <w:noProof/>
                <w:webHidden/>
              </w:rPr>
              <w:t>7</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11" w:history="1">
            <w:r w:rsidR="00B01217" w:rsidRPr="0013514D">
              <w:rPr>
                <w:rStyle w:val="Hyperlink"/>
                <w:rFonts w:ascii="Times New Roman" w:hAnsi="Times New Roman" w:cs="Times New Roman"/>
                <w:noProof/>
              </w:rPr>
              <w:t>1.2 Rationale for the study</w:t>
            </w:r>
            <w:r w:rsidR="00B01217">
              <w:rPr>
                <w:noProof/>
                <w:webHidden/>
              </w:rPr>
              <w:tab/>
            </w:r>
            <w:r w:rsidR="00B01217">
              <w:rPr>
                <w:noProof/>
                <w:webHidden/>
              </w:rPr>
              <w:fldChar w:fldCharType="begin"/>
            </w:r>
            <w:r w:rsidR="00B01217">
              <w:rPr>
                <w:noProof/>
                <w:webHidden/>
              </w:rPr>
              <w:instrText xml:space="preserve"> PAGEREF _Toc112709811 \h </w:instrText>
            </w:r>
            <w:r w:rsidR="00B01217">
              <w:rPr>
                <w:noProof/>
                <w:webHidden/>
              </w:rPr>
            </w:r>
            <w:r w:rsidR="00B01217">
              <w:rPr>
                <w:noProof/>
                <w:webHidden/>
              </w:rPr>
              <w:fldChar w:fldCharType="separate"/>
            </w:r>
            <w:r w:rsidR="00B01217">
              <w:rPr>
                <w:noProof/>
                <w:webHidden/>
              </w:rPr>
              <w:t>7</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12" w:history="1">
            <w:r w:rsidR="00B01217" w:rsidRPr="0013514D">
              <w:rPr>
                <w:rStyle w:val="Hyperlink"/>
                <w:rFonts w:ascii="Times New Roman" w:hAnsi="Times New Roman" w:cs="Times New Roman"/>
                <w:noProof/>
              </w:rPr>
              <w:t>1.3 Objective of the Study</w:t>
            </w:r>
            <w:r w:rsidR="00B01217">
              <w:rPr>
                <w:noProof/>
                <w:webHidden/>
              </w:rPr>
              <w:tab/>
            </w:r>
            <w:r w:rsidR="00B01217">
              <w:rPr>
                <w:noProof/>
                <w:webHidden/>
              </w:rPr>
              <w:fldChar w:fldCharType="begin"/>
            </w:r>
            <w:r w:rsidR="00B01217">
              <w:rPr>
                <w:noProof/>
                <w:webHidden/>
              </w:rPr>
              <w:instrText xml:space="preserve"> PAGEREF _Toc112709812 \h </w:instrText>
            </w:r>
            <w:r w:rsidR="00B01217">
              <w:rPr>
                <w:noProof/>
                <w:webHidden/>
              </w:rPr>
            </w:r>
            <w:r w:rsidR="00B01217">
              <w:rPr>
                <w:noProof/>
                <w:webHidden/>
              </w:rPr>
              <w:fldChar w:fldCharType="separate"/>
            </w:r>
            <w:r w:rsidR="00B01217">
              <w:rPr>
                <w:noProof/>
                <w:webHidden/>
              </w:rPr>
              <w:t>8</w:t>
            </w:r>
            <w:r w:rsidR="00B01217">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13" w:history="1">
            <w:r w:rsidR="00B01217" w:rsidRPr="0013514D">
              <w:rPr>
                <w:rStyle w:val="Hyperlink"/>
                <w:rFonts w:ascii="Times New Roman" w:hAnsi="Times New Roman" w:cs="Times New Roman"/>
                <w:noProof/>
              </w:rPr>
              <w:t>METHODOLOGY</w:t>
            </w:r>
            <w:r w:rsidR="00B01217">
              <w:rPr>
                <w:noProof/>
                <w:webHidden/>
              </w:rPr>
              <w:tab/>
            </w:r>
            <w:r w:rsidR="00B01217">
              <w:rPr>
                <w:noProof/>
                <w:webHidden/>
              </w:rPr>
              <w:fldChar w:fldCharType="begin"/>
            </w:r>
            <w:r w:rsidR="00B01217">
              <w:rPr>
                <w:noProof/>
                <w:webHidden/>
              </w:rPr>
              <w:instrText xml:space="preserve"> PAGEREF _Toc112709813 \h </w:instrText>
            </w:r>
            <w:r w:rsidR="00B01217">
              <w:rPr>
                <w:noProof/>
                <w:webHidden/>
              </w:rPr>
            </w:r>
            <w:r w:rsidR="00B01217">
              <w:rPr>
                <w:noProof/>
                <w:webHidden/>
              </w:rPr>
              <w:fldChar w:fldCharType="separate"/>
            </w:r>
            <w:r w:rsidR="00B01217">
              <w:rPr>
                <w:noProof/>
                <w:webHidden/>
              </w:rPr>
              <w:t>9</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14" w:history="1">
            <w:r w:rsidR="00B01217" w:rsidRPr="0013514D">
              <w:rPr>
                <w:rStyle w:val="Hyperlink"/>
                <w:rFonts w:ascii="Times New Roman" w:hAnsi="Times New Roman" w:cs="Times New Roman"/>
                <w:noProof/>
              </w:rPr>
              <w:t>2.1 Setting</w:t>
            </w:r>
            <w:r w:rsidR="00B01217">
              <w:rPr>
                <w:noProof/>
                <w:webHidden/>
              </w:rPr>
              <w:tab/>
            </w:r>
            <w:r w:rsidR="00B01217">
              <w:rPr>
                <w:noProof/>
                <w:webHidden/>
              </w:rPr>
              <w:fldChar w:fldCharType="begin"/>
            </w:r>
            <w:r w:rsidR="00B01217">
              <w:rPr>
                <w:noProof/>
                <w:webHidden/>
              </w:rPr>
              <w:instrText xml:space="preserve"> PAGEREF _Toc112709814 \h </w:instrText>
            </w:r>
            <w:r w:rsidR="00B01217">
              <w:rPr>
                <w:noProof/>
                <w:webHidden/>
              </w:rPr>
            </w:r>
            <w:r w:rsidR="00B01217">
              <w:rPr>
                <w:noProof/>
                <w:webHidden/>
              </w:rPr>
              <w:fldChar w:fldCharType="separate"/>
            </w:r>
            <w:r w:rsidR="00B01217">
              <w:rPr>
                <w:noProof/>
                <w:webHidden/>
              </w:rPr>
              <w:t>9</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15" w:history="1">
            <w:r w:rsidR="00B01217" w:rsidRPr="0013514D">
              <w:rPr>
                <w:rStyle w:val="Hyperlink"/>
                <w:rFonts w:ascii="Times New Roman" w:hAnsi="Times New Roman" w:cs="Times New Roman"/>
                <w:noProof/>
              </w:rPr>
              <w:t>2.2 Population</w:t>
            </w:r>
            <w:r w:rsidR="00B01217">
              <w:rPr>
                <w:noProof/>
                <w:webHidden/>
              </w:rPr>
              <w:tab/>
            </w:r>
            <w:r w:rsidR="00B01217">
              <w:rPr>
                <w:noProof/>
                <w:webHidden/>
              </w:rPr>
              <w:fldChar w:fldCharType="begin"/>
            </w:r>
            <w:r w:rsidR="00B01217">
              <w:rPr>
                <w:noProof/>
                <w:webHidden/>
              </w:rPr>
              <w:instrText xml:space="preserve"> PAGEREF _Toc112709815 \h </w:instrText>
            </w:r>
            <w:r w:rsidR="00B01217">
              <w:rPr>
                <w:noProof/>
                <w:webHidden/>
              </w:rPr>
            </w:r>
            <w:r w:rsidR="00B01217">
              <w:rPr>
                <w:noProof/>
                <w:webHidden/>
              </w:rPr>
              <w:fldChar w:fldCharType="separate"/>
            </w:r>
            <w:r w:rsidR="00B01217">
              <w:rPr>
                <w:noProof/>
                <w:webHidden/>
              </w:rPr>
              <w:t>9</w:t>
            </w:r>
            <w:r w:rsidR="00B01217">
              <w:rPr>
                <w:noProof/>
                <w:webHidden/>
              </w:rPr>
              <w:fldChar w:fldCharType="end"/>
            </w:r>
          </w:hyperlink>
        </w:p>
        <w:p w:rsidR="00B01217" w:rsidRDefault="00342BE3" w:rsidP="00B01217">
          <w:pPr>
            <w:pStyle w:val="TOC3"/>
            <w:tabs>
              <w:tab w:val="right" w:leader="dot" w:pos="9016"/>
            </w:tabs>
            <w:rPr>
              <w:rFonts w:asciiTheme="minorHAnsi" w:eastAsiaTheme="minorEastAsia" w:hAnsiTheme="minorHAnsi" w:cstheme="minorBidi"/>
              <w:noProof/>
              <w:lang w:val="en-US" w:eastAsia="en-US"/>
            </w:rPr>
          </w:pPr>
          <w:hyperlink w:anchor="_Toc112709816" w:history="1">
            <w:r w:rsidR="00B01217" w:rsidRPr="0013514D">
              <w:rPr>
                <w:rStyle w:val="Hyperlink"/>
                <w:rFonts w:ascii="Times New Roman" w:hAnsi="Times New Roman" w:cs="Times New Roman"/>
                <w:noProof/>
              </w:rPr>
              <w:t>2.2.1 Inclusion criteria</w:t>
            </w:r>
            <w:r w:rsidR="00B01217">
              <w:rPr>
                <w:noProof/>
                <w:webHidden/>
              </w:rPr>
              <w:tab/>
            </w:r>
            <w:r w:rsidR="00B01217">
              <w:rPr>
                <w:noProof/>
                <w:webHidden/>
              </w:rPr>
              <w:fldChar w:fldCharType="begin"/>
            </w:r>
            <w:r w:rsidR="00B01217">
              <w:rPr>
                <w:noProof/>
                <w:webHidden/>
              </w:rPr>
              <w:instrText xml:space="preserve"> PAGEREF _Toc112709816 \h </w:instrText>
            </w:r>
            <w:r w:rsidR="00B01217">
              <w:rPr>
                <w:noProof/>
                <w:webHidden/>
              </w:rPr>
            </w:r>
            <w:r w:rsidR="00B01217">
              <w:rPr>
                <w:noProof/>
                <w:webHidden/>
              </w:rPr>
              <w:fldChar w:fldCharType="separate"/>
            </w:r>
            <w:r w:rsidR="00B01217">
              <w:rPr>
                <w:noProof/>
                <w:webHidden/>
              </w:rPr>
              <w:t>9</w:t>
            </w:r>
            <w:r w:rsidR="00B01217">
              <w:rPr>
                <w:noProof/>
                <w:webHidden/>
              </w:rPr>
              <w:fldChar w:fldCharType="end"/>
            </w:r>
          </w:hyperlink>
        </w:p>
        <w:p w:rsidR="00B01217" w:rsidRDefault="00342BE3" w:rsidP="00B01217">
          <w:pPr>
            <w:pStyle w:val="TOC3"/>
            <w:tabs>
              <w:tab w:val="right" w:leader="dot" w:pos="9016"/>
            </w:tabs>
            <w:rPr>
              <w:rFonts w:asciiTheme="minorHAnsi" w:eastAsiaTheme="minorEastAsia" w:hAnsiTheme="minorHAnsi" w:cstheme="minorBidi"/>
              <w:noProof/>
              <w:lang w:val="en-US" w:eastAsia="en-US"/>
            </w:rPr>
          </w:pPr>
          <w:hyperlink w:anchor="_Toc112709817" w:history="1">
            <w:r w:rsidR="00B01217" w:rsidRPr="0013514D">
              <w:rPr>
                <w:rStyle w:val="Hyperlink"/>
                <w:rFonts w:ascii="Times New Roman" w:hAnsi="Times New Roman" w:cs="Times New Roman"/>
                <w:noProof/>
              </w:rPr>
              <w:t>2.2.2 Exclusion criteria</w:t>
            </w:r>
            <w:r w:rsidR="00B01217">
              <w:rPr>
                <w:noProof/>
                <w:webHidden/>
              </w:rPr>
              <w:tab/>
            </w:r>
            <w:r w:rsidR="00B01217">
              <w:rPr>
                <w:noProof/>
                <w:webHidden/>
              </w:rPr>
              <w:fldChar w:fldCharType="begin"/>
            </w:r>
            <w:r w:rsidR="00B01217">
              <w:rPr>
                <w:noProof/>
                <w:webHidden/>
              </w:rPr>
              <w:instrText xml:space="preserve"> PAGEREF _Toc112709817 \h </w:instrText>
            </w:r>
            <w:r w:rsidR="00B01217">
              <w:rPr>
                <w:noProof/>
                <w:webHidden/>
              </w:rPr>
            </w:r>
            <w:r w:rsidR="00B01217">
              <w:rPr>
                <w:noProof/>
                <w:webHidden/>
              </w:rPr>
              <w:fldChar w:fldCharType="separate"/>
            </w:r>
            <w:r w:rsidR="00B01217">
              <w:rPr>
                <w:noProof/>
                <w:webHidden/>
              </w:rPr>
              <w:t>10</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19" w:history="1">
            <w:r w:rsidR="00B01217" w:rsidRPr="0013514D">
              <w:rPr>
                <w:rStyle w:val="Hyperlink"/>
                <w:rFonts w:ascii="Times New Roman" w:hAnsi="Times New Roman" w:cs="Times New Roman"/>
                <w:noProof/>
              </w:rPr>
              <w:t>2.3 Design</w:t>
            </w:r>
            <w:r w:rsidR="00B01217">
              <w:rPr>
                <w:noProof/>
                <w:webHidden/>
              </w:rPr>
              <w:tab/>
            </w:r>
            <w:r w:rsidR="00B01217">
              <w:rPr>
                <w:noProof/>
                <w:webHidden/>
              </w:rPr>
              <w:fldChar w:fldCharType="begin"/>
            </w:r>
            <w:r w:rsidR="00B01217">
              <w:rPr>
                <w:noProof/>
                <w:webHidden/>
              </w:rPr>
              <w:instrText xml:space="preserve"> PAGEREF _Toc112709819 \h </w:instrText>
            </w:r>
            <w:r w:rsidR="00B01217">
              <w:rPr>
                <w:noProof/>
                <w:webHidden/>
              </w:rPr>
            </w:r>
            <w:r w:rsidR="00B01217">
              <w:rPr>
                <w:noProof/>
                <w:webHidden/>
              </w:rPr>
              <w:fldChar w:fldCharType="separate"/>
            </w:r>
            <w:r w:rsidR="00B01217">
              <w:rPr>
                <w:noProof/>
                <w:webHidden/>
              </w:rPr>
              <w:t>10</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20" w:history="1">
            <w:r w:rsidR="00B01217" w:rsidRPr="0013514D">
              <w:rPr>
                <w:rStyle w:val="Hyperlink"/>
                <w:rFonts w:ascii="Times New Roman" w:hAnsi="Times New Roman" w:cs="Times New Roman"/>
                <w:noProof/>
              </w:rPr>
              <w:t>2.4 Sample size estimation</w:t>
            </w:r>
            <w:r w:rsidR="00B01217">
              <w:rPr>
                <w:noProof/>
                <w:webHidden/>
              </w:rPr>
              <w:tab/>
            </w:r>
            <w:r w:rsidR="00B01217">
              <w:rPr>
                <w:noProof/>
                <w:webHidden/>
              </w:rPr>
              <w:fldChar w:fldCharType="begin"/>
            </w:r>
            <w:r w:rsidR="00B01217">
              <w:rPr>
                <w:noProof/>
                <w:webHidden/>
              </w:rPr>
              <w:instrText xml:space="preserve"> PAGEREF _Toc112709820 \h </w:instrText>
            </w:r>
            <w:r w:rsidR="00B01217">
              <w:rPr>
                <w:noProof/>
                <w:webHidden/>
              </w:rPr>
            </w:r>
            <w:r w:rsidR="00B01217">
              <w:rPr>
                <w:noProof/>
                <w:webHidden/>
              </w:rPr>
              <w:fldChar w:fldCharType="separate"/>
            </w:r>
            <w:r w:rsidR="00B01217">
              <w:rPr>
                <w:noProof/>
                <w:webHidden/>
              </w:rPr>
              <w:t>10</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21" w:history="1">
            <w:r w:rsidR="00B01217" w:rsidRPr="0013514D">
              <w:rPr>
                <w:rStyle w:val="Hyperlink"/>
                <w:rFonts w:ascii="Times New Roman" w:hAnsi="Times New Roman" w:cs="Times New Roman"/>
                <w:noProof/>
              </w:rPr>
              <w:t>2.5 Participant identification</w:t>
            </w:r>
            <w:r w:rsidR="00B01217">
              <w:rPr>
                <w:noProof/>
                <w:webHidden/>
              </w:rPr>
              <w:tab/>
            </w:r>
            <w:r w:rsidR="00B01217">
              <w:rPr>
                <w:noProof/>
                <w:webHidden/>
              </w:rPr>
              <w:fldChar w:fldCharType="begin"/>
            </w:r>
            <w:r w:rsidR="00B01217">
              <w:rPr>
                <w:noProof/>
                <w:webHidden/>
              </w:rPr>
              <w:instrText xml:space="preserve"> PAGEREF _Toc112709821 \h </w:instrText>
            </w:r>
            <w:r w:rsidR="00B01217">
              <w:rPr>
                <w:noProof/>
                <w:webHidden/>
              </w:rPr>
            </w:r>
            <w:r w:rsidR="00B01217">
              <w:rPr>
                <w:noProof/>
                <w:webHidden/>
              </w:rPr>
              <w:fldChar w:fldCharType="separate"/>
            </w:r>
            <w:r w:rsidR="00B01217">
              <w:rPr>
                <w:noProof/>
                <w:webHidden/>
              </w:rPr>
              <w:t>10</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22" w:history="1">
            <w:r w:rsidR="00B01217" w:rsidRPr="0013514D">
              <w:rPr>
                <w:rStyle w:val="Hyperlink"/>
                <w:rFonts w:ascii="Times New Roman" w:hAnsi="Times New Roman" w:cs="Times New Roman"/>
                <w:noProof/>
              </w:rPr>
              <w:t>2.6 Interview tools</w:t>
            </w:r>
            <w:r w:rsidR="00B01217">
              <w:rPr>
                <w:noProof/>
                <w:webHidden/>
              </w:rPr>
              <w:tab/>
            </w:r>
            <w:r w:rsidR="00B01217">
              <w:rPr>
                <w:noProof/>
                <w:webHidden/>
              </w:rPr>
              <w:fldChar w:fldCharType="begin"/>
            </w:r>
            <w:r w:rsidR="00B01217">
              <w:rPr>
                <w:noProof/>
                <w:webHidden/>
              </w:rPr>
              <w:instrText xml:space="preserve"> PAGEREF _Toc112709822 \h </w:instrText>
            </w:r>
            <w:r w:rsidR="00B01217">
              <w:rPr>
                <w:noProof/>
                <w:webHidden/>
              </w:rPr>
            </w:r>
            <w:r w:rsidR="00B01217">
              <w:rPr>
                <w:noProof/>
                <w:webHidden/>
              </w:rPr>
              <w:fldChar w:fldCharType="separate"/>
            </w:r>
            <w:r w:rsidR="00B01217">
              <w:rPr>
                <w:noProof/>
                <w:webHidden/>
              </w:rPr>
              <w:t>10</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23" w:history="1">
            <w:r w:rsidR="00B01217" w:rsidRPr="0013514D">
              <w:rPr>
                <w:rStyle w:val="Hyperlink"/>
                <w:rFonts w:ascii="Times New Roman" w:hAnsi="Times New Roman" w:cs="Times New Roman"/>
                <w:noProof/>
              </w:rPr>
              <w:t>2.7 Blood collection, management and analysis</w:t>
            </w:r>
            <w:r w:rsidR="00B01217">
              <w:rPr>
                <w:noProof/>
                <w:webHidden/>
              </w:rPr>
              <w:tab/>
            </w:r>
            <w:r w:rsidR="00B01217">
              <w:rPr>
                <w:noProof/>
                <w:webHidden/>
              </w:rPr>
              <w:fldChar w:fldCharType="begin"/>
            </w:r>
            <w:r w:rsidR="00B01217">
              <w:rPr>
                <w:noProof/>
                <w:webHidden/>
              </w:rPr>
              <w:instrText xml:space="preserve"> PAGEREF _Toc112709823 \h </w:instrText>
            </w:r>
            <w:r w:rsidR="00B01217">
              <w:rPr>
                <w:noProof/>
                <w:webHidden/>
              </w:rPr>
            </w:r>
            <w:r w:rsidR="00B01217">
              <w:rPr>
                <w:noProof/>
                <w:webHidden/>
              </w:rPr>
              <w:fldChar w:fldCharType="separate"/>
            </w:r>
            <w:r w:rsidR="00B01217">
              <w:rPr>
                <w:noProof/>
                <w:webHidden/>
              </w:rPr>
              <w:t>10</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24" w:history="1">
            <w:r w:rsidR="00B01217" w:rsidRPr="0013514D">
              <w:rPr>
                <w:rStyle w:val="Hyperlink"/>
                <w:rFonts w:ascii="Times New Roman" w:hAnsi="Times New Roman" w:cs="Times New Roman"/>
                <w:noProof/>
              </w:rPr>
              <w:t>2.8 Ethics considerations</w:t>
            </w:r>
            <w:r w:rsidR="00B01217">
              <w:rPr>
                <w:noProof/>
                <w:webHidden/>
              </w:rPr>
              <w:tab/>
            </w:r>
            <w:r w:rsidR="00B01217">
              <w:rPr>
                <w:noProof/>
                <w:webHidden/>
              </w:rPr>
              <w:fldChar w:fldCharType="begin"/>
            </w:r>
            <w:r w:rsidR="00B01217">
              <w:rPr>
                <w:noProof/>
                <w:webHidden/>
              </w:rPr>
              <w:instrText xml:space="preserve"> PAGEREF _Toc112709824 \h </w:instrText>
            </w:r>
            <w:r w:rsidR="00B01217">
              <w:rPr>
                <w:noProof/>
                <w:webHidden/>
              </w:rPr>
            </w:r>
            <w:r w:rsidR="00B01217">
              <w:rPr>
                <w:noProof/>
                <w:webHidden/>
              </w:rPr>
              <w:fldChar w:fldCharType="separate"/>
            </w:r>
            <w:r w:rsidR="00B01217">
              <w:rPr>
                <w:noProof/>
                <w:webHidden/>
              </w:rPr>
              <w:t>11</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25" w:history="1">
            <w:r w:rsidR="00B01217" w:rsidRPr="0013514D">
              <w:rPr>
                <w:rStyle w:val="Hyperlink"/>
                <w:rFonts w:ascii="Times New Roman" w:hAnsi="Times New Roman" w:cs="Times New Roman"/>
                <w:noProof/>
              </w:rPr>
              <w:t>2.9 Data quality and data management</w:t>
            </w:r>
            <w:r w:rsidR="00B01217">
              <w:rPr>
                <w:noProof/>
                <w:webHidden/>
              </w:rPr>
              <w:tab/>
            </w:r>
            <w:r w:rsidR="00B01217">
              <w:rPr>
                <w:noProof/>
                <w:webHidden/>
              </w:rPr>
              <w:fldChar w:fldCharType="begin"/>
            </w:r>
            <w:r w:rsidR="00B01217">
              <w:rPr>
                <w:noProof/>
                <w:webHidden/>
              </w:rPr>
              <w:instrText xml:space="preserve"> PAGEREF _Toc112709825 \h </w:instrText>
            </w:r>
            <w:r w:rsidR="00B01217">
              <w:rPr>
                <w:noProof/>
                <w:webHidden/>
              </w:rPr>
            </w:r>
            <w:r w:rsidR="00B01217">
              <w:rPr>
                <w:noProof/>
                <w:webHidden/>
              </w:rPr>
              <w:fldChar w:fldCharType="separate"/>
            </w:r>
            <w:r w:rsidR="00B01217">
              <w:rPr>
                <w:noProof/>
                <w:webHidden/>
              </w:rPr>
              <w:t>11</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26" w:history="1">
            <w:r w:rsidR="00B01217" w:rsidRPr="0013514D">
              <w:rPr>
                <w:rStyle w:val="Hyperlink"/>
                <w:rFonts w:ascii="Times New Roman" w:hAnsi="Times New Roman" w:cs="Times New Roman"/>
                <w:noProof/>
              </w:rPr>
              <w:t>2.10 Data analysis</w:t>
            </w:r>
            <w:r w:rsidR="00B01217">
              <w:rPr>
                <w:noProof/>
                <w:webHidden/>
              </w:rPr>
              <w:tab/>
            </w:r>
            <w:r w:rsidR="00B01217">
              <w:rPr>
                <w:noProof/>
                <w:webHidden/>
              </w:rPr>
              <w:fldChar w:fldCharType="begin"/>
            </w:r>
            <w:r w:rsidR="00B01217">
              <w:rPr>
                <w:noProof/>
                <w:webHidden/>
              </w:rPr>
              <w:instrText xml:space="preserve"> PAGEREF _Toc112709826 \h </w:instrText>
            </w:r>
            <w:r w:rsidR="00B01217">
              <w:rPr>
                <w:noProof/>
                <w:webHidden/>
              </w:rPr>
            </w:r>
            <w:r w:rsidR="00B01217">
              <w:rPr>
                <w:noProof/>
                <w:webHidden/>
              </w:rPr>
              <w:fldChar w:fldCharType="separate"/>
            </w:r>
            <w:r w:rsidR="00B01217">
              <w:rPr>
                <w:noProof/>
                <w:webHidden/>
              </w:rPr>
              <w:t>12</w:t>
            </w:r>
            <w:r w:rsidR="00B01217">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27" w:history="1">
            <w:r w:rsidR="00B01217" w:rsidRPr="0013514D">
              <w:rPr>
                <w:rStyle w:val="Hyperlink"/>
                <w:rFonts w:ascii="Times New Roman" w:hAnsi="Times New Roman" w:cs="Times New Roman"/>
                <w:noProof/>
              </w:rPr>
              <w:t>RESULTS</w:t>
            </w:r>
            <w:r w:rsidR="00B01217">
              <w:rPr>
                <w:noProof/>
                <w:webHidden/>
              </w:rPr>
              <w:tab/>
            </w:r>
            <w:r w:rsidR="00B01217">
              <w:rPr>
                <w:noProof/>
                <w:webHidden/>
              </w:rPr>
              <w:fldChar w:fldCharType="begin"/>
            </w:r>
            <w:r w:rsidR="00B01217">
              <w:rPr>
                <w:noProof/>
                <w:webHidden/>
              </w:rPr>
              <w:instrText xml:space="preserve"> PAGEREF _Toc112709827 \h </w:instrText>
            </w:r>
            <w:r w:rsidR="00B01217">
              <w:rPr>
                <w:noProof/>
                <w:webHidden/>
              </w:rPr>
            </w:r>
            <w:r w:rsidR="00B01217">
              <w:rPr>
                <w:noProof/>
                <w:webHidden/>
              </w:rPr>
              <w:fldChar w:fldCharType="separate"/>
            </w:r>
            <w:r w:rsidR="00B01217">
              <w:rPr>
                <w:noProof/>
                <w:webHidden/>
              </w:rPr>
              <w:t>13</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28" w:history="1">
            <w:r w:rsidR="00B01217" w:rsidRPr="0013514D">
              <w:rPr>
                <w:rStyle w:val="Hyperlink"/>
                <w:rFonts w:ascii="Times New Roman" w:hAnsi="Times New Roman" w:cs="Times New Roman"/>
                <w:noProof/>
              </w:rPr>
              <w:t>3.1 Characteristics of study participants</w:t>
            </w:r>
            <w:r w:rsidR="00B01217">
              <w:rPr>
                <w:noProof/>
                <w:webHidden/>
              </w:rPr>
              <w:tab/>
            </w:r>
            <w:r w:rsidR="00B01217">
              <w:rPr>
                <w:noProof/>
                <w:webHidden/>
              </w:rPr>
              <w:fldChar w:fldCharType="begin"/>
            </w:r>
            <w:r w:rsidR="00B01217">
              <w:rPr>
                <w:noProof/>
                <w:webHidden/>
              </w:rPr>
              <w:instrText xml:space="preserve"> PAGEREF _Toc112709828 \h </w:instrText>
            </w:r>
            <w:r w:rsidR="00B01217">
              <w:rPr>
                <w:noProof/>
                <w:webHidden/>
              </w:rPr>
            </w:r>
            <w:r w:rsidR="00B01217">
              <w:rPr>
                <w:noProof/>
                <w:webHidden/>
              </w:rPr>
              <w:fldChar w:fldCharType="separate"/>
            </w:r>
            <w:r w:rsidR="00B01217">
              <w:rPr>
                <w:noProof/>
                <w:webHidden/>
              </w:rPr>
              <w:t>13</w:t>
            </w:r>
            <w:r w:rsidR="00B01217">
              <w:rPr>
                <w:noProof/>
                <w:webHidden/>
              </w:rPr>
              <w:fldChar w:fldCharType="end"/>
            </w:r>
          </w:hyperlink>
        </w:p>
        <w:p w:rsidR="00B01217" w:rsidRDefault="00342BE3" w:rsidP="00B01217">
          <w:pPr>
            <w:pStyle w:val="TOC3"/>
            <w:tabs>
              <w:tab w:val="right" w:leader="dot" w:pos="9016"/>
            </w:tabs>
            <w:rPr>
              <w:rFonts w:asciiTheme="minorHAnsi" w:eastAsiaTheme="minorEastAsia" w:hAnsiTheme="minorHAnsi" w:cstheme="minorBidi"/>
              <w:noProof/>
              <w:lang w:val="en-US" w:eastAsia="en-US"/>
            </w:rPr>
          </w:pPr>
          <w:hyperlink w:anchor="_Toc112709829" w:history="1">
            <w:r w:rsidR="00B01217" w:rsidRPr="0013514D">
              <w:rPr>
                <w:rStyle w:val="Hyperlink"/>
                <w:rFonts w:ascii="Times New Roman" w:hAnsi="Times New Roman" w:cs="Times New Roman"/>
                <w:noProof/>
              </w:rPr>
              <w:t>3.1.1 Response rate</w:t>
            </w:r>
            <w:r w:rsidR="00B01217">
              <w:rPr>
                <w:noProof/>
                <w:webHidden/>
              </w:rPr>
              <w:tab/>
            </w:r>
            <w:r w:rsidR="00B01217">
              <w:rPr>
                <w:noProof/>
                <w:webHidden/>
              </w:rPr>
              <w:fldChar w:fldCharType="begin"/>
            </w:r>
            <w:r w:rsidR="00B01217">
              <w:rPr>
                <w:noProof/>
                <w:webHidden/>
              </w:rPr>
              <w:instrText xml:space="preserve"> PAGEREF _Toc112709829 \h </w:instrText>
            </w:r>
            <w:r w:rsidR="00B01217">
              <w:rPr>
                <w:noProof/>
                <w:webHidden/>
              </w:rPr>
            </w:r>
            <w:r w:rsidR="00B01217">
              <w:rPr>
                <w:noProof/>
                <w:webHidden/>
              </w:rPr>
              <w:fldChar w:fldCharType="separate"/>
            </w:r>
            <w:r w:rsidR="00B01217">
              <w:rPr>
                <w:noProof/>
                <w:webHidden/>
              </w:rPr>
              <w:t>13</w:t>
            </w:r>
            <w:r w:rsidR="00B01217">
              <w:rPr>
                <w:noProof/>
                <w:webHidden/>
              </w:rPr>
              <w:fldChar w:fldCharType="end"/>
            </w:r>
          </w:hyperlink>
        </w:p>
        <w:p w:rsidR="00B01217" w:rsidRDefault="00342BE3" w:rsidP="00B01217">
          <w:pPr>
            <w:pStyle w:val="TOC3"/>
            <w:tabs>
              <w:tab w:val="right" w:leader="dot" w:pos="9016"/>
            </w:tabs>
            <w:rPr>
              <w:rFonts w:asciiTheme="minorHAnsi" w:eastAsiaTheme="minorEastAsia" w:hAnsiTheme="minorHAnsi" w:cstheme="minorBidi"/>
              <w:noProof/>
              <w:lang w:val="en-US" w:eastAsia="en-US"/>
            </w:rPr>
          </w:pPr>
          <w:hyperlink w:anchor="_Toc112709830" w:history="1">
            <w:r w:rsidR="00B01217" w:rsidRPr="0013514D">
              <w:rPr>
                <w:rStyle w:val="Hyperlink"/>
                <w:rFonts w:ascii="Times New Roman" w:hAnsi="Times New Roman" w:cs="Times New Roman"/>
                <w:noProof/>
              </w:rPr>
              <w:t>3.1.2 Distribution of participants by age</w:t>
            </w:r>
            <w:r w:rsidR="00B01217">
              <w:rPr>
                <w:noProof/>
                <w:webHidden/>
              </w:rPr>
              <w:tab/>
            </w:r>
            <w:r w:rsidR="00B01217">
              <w:rPr>
                <w:noProof/>
                <w:webHidden/>
              </w:rPr>
              <w:fldChar w:fldCharType="begin"/>
            </w:r>
            <w:r w:rsidR="00B01217">
              <w:rPr>
                <w:noProof/>
                <w:webHidden/>
              </w:rPr>
              <w:instrText xml:space="preserve"> PAGEREF _Toc112709830 \h </w:instrText>
            </w:r>
            <w:r w:rsidR="00B01217">
              <w:rPr>
                <w:noProof/>
                <w:webHidden/>
              </w:rPr>
            </w:r>
            <w:r w:rsidR="00B01217">
              <w:rPr>
                <w:noProof/>
                <w:webHidden/>
              </w:rPr>
              <w:fldChar w:fldCharType="separate"/>
            </w:r>
            <w:r w:rsidR="00B01217">
              <w:rPr>
                <w:noProof/>
                <w:webHidden/>
              </w:rPr>
              <w:t>13</w:t>
            </w:r>
            <w:r w:rsidR="00B01217">
              <w:rPr>
                <w:noProof/>
                <w:webHidden/>
              </w:rPr>
              <w:fldChar w:fldCharType="end"/>
            </w:r>
          </w:hyperlink>
        </w:p>
        <w:p w:rsidR="00B01217" w:rsidRDefault="00342BE3" w:rsidP="00B01217">
          <w:pPr>
            <w:pStyle w:val="TOC3"/>
            <w:tabs>
              <w:tab w:val="right" w:leader="dot" w:pos="9016"/>
            </w:tabs>
            <w:rPr>
              <w:rFonts w:asciiTheme="minorHAnsi" w:eastAsiaTheme="minorEastAsia" w:hAnsiTheme="minorHAnsi" w:cstheme="minorBidi"/>
              <w:noProof/>
              <w:lang w:val="en-US" w:eastAsia="en-US"/>
            </w:rPr>
          </w:pPr>
          <w:hyperlink w:anchor="_Toc112709831" w:history="1">
            <w:r w:rsidR="00B01217" w:rsidRPr="0013514D">
              <w:rPr>
                <w:rStyle w:val="Hyperlink"/>
                <w:rFonts w:ascii="Times New Roman" w:hAnsi="Times New Roman" w:cs="Times New Roman"/>
                <w:noProof/>
              </w:rPr>
              <w:t>3.1.3 Distribution of participants by gender</w:t>
            </w:r>
            <w:r w:rsidR="00B01217">
              <w:rPr>
                <w:noProof/>
                <w:webHidden/>
              </w:rPr>
              <w:tab/>
            </w:r>
            <w:r w:rsidR="00B01217">
              <w:rPr>
                <w:noProof/>
                <w:webHidden/>
              </w:rPr>
              <w:fldChar w:fldCharType="begin"/>
            </w:r>
            <w:r w:rsidR="00B01217">
              <w:rPr>
                <w:noProof/>
                <w:webHidden/>
              </w:rPr>
              <w:instrText xml:space="preserve"> PAGEREF _Toc112709831 \h </w:instrText>
            </w:r>
            <w:r w:rsidR="00B01217">
              <w:rPr>
                <w:noProof/>
                <w:webHidden/>
              </w:rPr>
            </w:r>
            <w:r w:rsidR="00B01217">
              <w:rPr>
                <w:noProof/>
                <w:webHidden/>
              </w:rPr>
              <w:fldChar w:fldCharType="separate"/>
            </w:r>
            <w:r w:rsidR="00B01217">
              <w:rPr>
                <w:noProof/>
                <w:webHidden/>
              </w:rPr>
              <w:t>14</w:t>
            </w:r>
            <w:r w:rsidR="00B01217">
              <w:rPr>
                <w:noProof/>
                <w:webHidden/>
              </w:rPr>
              <w:fldChar w:fldCharType="end"/>
            </w:r>
          </w:hyperlink>
        </w:p>
        <w:p w:rsidR="00B01217" w:rsidRDefault="00342BE3" w:rsidP="00B01217">
          <w:pPr>
            <w:pStyle w:val="TOC3"/>
            <w:tabs>
              <w:tab w:val="right" w:leader="dot" w:pos="9016"/>
            </w:tabs>
            <w:rPr>
              <w:rFonts w:asciiTheme="minorHAnsi" w:eastAsiaTheme="minorEastAsia" w:hAnsiTheme="minorHAnsi" w:cstheme="minorBidi"/>
              <w:noProof/>
              <w:lang w:val="en-US" w:eastAsia="en-US"/>
            </w:rPr>
          </w:pPr>
          <w:hyperlink w:anchor="_Toc112709832" w:history="1">
            <w:r w:rsidR="00B01217" w:rsidRPr="0013514D">
              <w:rPr>
                <w:rStyle w:val="Hyperlink"/>
                <w:rFonts w:ascii="Times New Roman" w:hAnsi="Times New Roman" w:cs="Times New Roman"/>
                <w:noProof/>
              </w:rPr>
              <w:t>3.1.4 Religion</w:t>
            </w:r>
            <w:r w:rsidR="00B01217">
              <w:rPr>
                <w:noProof/>
                <w:webHidden/>
              </w:rPr>
              <w:tab/>
            </w:r>
            <w:r w:rsidR="00B01217">
              <w:rPr>
                <w:noProof/>
                <w:webHidden/>
              </w:rPr>
              <w:fldChar w:fldCharType="begin"/>
            </w:r>
            <w:r w:rsidR="00B01217">
              <w:rPr>
                <w:noProof/>
                <w:webHidden/>
              </w:rPr>
              <w:instrText xml:space="preserve"> PAGEREF _Toc112709832 \h </w:instrText>
            </w:r>
            <w:r w:rsidR="00B01217">
              <w:rPr>
                <w:noProof/>
                <w:webHidden/>
              </w:rPr>
            </w:r>
            <w:r w:rsidR="00B01217">
              <w:rPr>
                <w:noProof/>
                <w:webHidden/>
              </w:rPr>
              <w:fldChar w:fldCharType="separate"/>
            </w:r>
            <w:r w:rsidR="00B01217">
              <w:rPr>
                <w:noProof/>
                <w:webHidden/>
              </w:rPr>
              <w:t>14</w:t>
            </w:r>
            <w:r w:rsidR="00B01217">
              <w:rPr>
                <w:noProof/>
                <w:webHidden/>
              </w:rPr>
              <w:fldChar w:fldCharType="end"/>
            </w:r>
          </w:hyperlink>
        </w:p>
        <w:p w:rsidR="00B01217" w:rsidRDefault="00342BE3" w:rsidP="00B01217">
          <w:pPr>
            <w:pStyle w:val="TOC3"/>
            <w:tabs>
              <w:tab w:val="right" w:leader="dot" w:pos="9016"/>
            </w:tabs>
            <w:rPr>
              <w:rFonts w:asciiTheme="minorHAnsi" w:eastAsiaTheme="minorEastAsia" w:hAnsiTheme="minorHAnsi" w:cstheme="minorBidi"/>
              <w:noProof/>
              <w:lang w:val="en-US" w:eastAsia="en-US"/>
            </w:rPr>
          </w:pPr>
          <w:hyperlink w:anchor="_Toc112709833" w:history="1">
            <w:r w:rsidR="00B01217" w:rsidRPr="0013514D">
              <w:rPr>
                <w:rStyle w:val="Hyperlink"/>
                <w:rFonts w:ascii="Times New Roman" w:hAnsi="Times New Roman" w:cs="Times New Roman"/>
                <w:noProof/>
              </w:rPr>
              <w:t>3.1.5 Participants’ Level of Education</w:t>
            </w:r>
            <w:r w:rsidR="00B01217">
              <w:rPr>
                <w:noProof/>
                <w:webHidden/>
              </w:rPr>
              <w:tab/>
            </w:r>
            <w:r w:rsidR="00B01217">
              <w:rPr>
                <w:noProof/>
                <w:webHidden/>
              </w:rPr>
              <w:fldChar w:fldCharType="begin"/>
            </w:r>
            <w:r w:rsidR="00B01217">
              <w:rPr>
                <w:noProof/>
                <w:webHidden/>
              </w:rPr>
              <w:instrText xml:space="preserve"> PAGEREF _Toc112709833 \h </w:instrText>
            </w:r>
            <w:r w:rsidR="00B01217">
              <w:rPr>
                <w:noProof/>
                <w:webHidden/>
              </w:rPr>
            </w:r>
            <w:r w:rsidR="00B01217">
              <w:rPr>
                <w:noProof/>
                <w:webHidden/>
              </w:rPr>
              <w:fldChar w:fldCharType="separate"/>
            </w:r>
            <w:r w:rsidR="00B01217">
              <w:rPr>
                <w:noProof/>
                <w:webHidden/>
              </w:rPr>
              <w:t>14</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34" w:history="1">
            <w:r w:rsidR="00B01217" w:rsidRPr="0013514D">
              <w:rPr>
                <w:rStyle w:val="Hyperlink"/>
                <w:rFonts w:ascii="Times New Roman" w:hAnsi="Times New Roman" w:cs="Times New Roman"/>
                <w:noProof/>
              </w:rPr>
              <w:t>3.2 SARS CoV-2 Antibodies Prevalence</w:t>
            </w:r>
            <w:r w:rsidR="00B01217">
              <w:rPr>
                <w:noProof/>
                <w:webHidden/>
              </w:rPr>
              <w:tab/>
            </w:r>
            <w:r w:rsidR="00B01217">
              <w:rPr>
                <w:noProof/>
                <w:webHidden/>
              </w:rPr>
              <w:fldChar w:fldCharType="begin"/>
            </w:r>
            <w:r w:rsidR="00B01217">
              <w:rPr>
                <w:noProof/>
                <w:webHidden/>
              </w:rPr>
              <w:instrText xml:space="preserve"> PAGEREF _Toc112709834 \h </w:instrText>
            </w:r>
            <w:r w:rsidR="00B01217">
              <w:rPr>
                <w:noProof/>
                <w:webHidden/>
              </w:rPr>
            </w:r>
            <w:r w:rsidR="00B01217">
              <w:rPr>
                <w:noProof/>
                <w:webHidden/>
              </w:rPr>
              <w:fldChar w:fldCharType="separate"/>
            </w:r>
            <w:r w:rsidR="00B01217">
              <w:rPr>
                <w:noProof/>
                <w:webHidden/>
              </w:rPr>
              <w:t>15</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35" w:history="1">
            <w:r w:rsidR="00B01217" w:rsidRPr="0013514D">
              <w:rPr>
                <w:rStyle w:val="Hyperlink"/>
                <w:rFonts w:ascii="Times New Roman" w:hAnsi="Times New Roman" w:cs="Times New Roman"/>
                <w:noProof/>
              </w:rPr>
              <w:t>3.3 Perception of Risk of acquiring SARS CoV-2</w:t>
            </w:r>
            <w:r w:rsidR="00B01217">
              <w:rPr>
                <w:noProof/>
                <w:webHidden/>
              </w:rPr>
              <w:tab/>
            </w:r>
            <w:r w:rsidR="00B01217">
              <w:rPr>
                <w:noProof/>
                <w:webHidden/>
              </w:rPr>
              <w:fldChar w:fldCharType="begin"/>
            </w:r>
            <w:r w:rsidR="00B01217">
              <w:rPr>
                <w:noProof/>
                <w:webHidden/>
              </w:rPr>
              <w:instrText xml:space="preserve"> PAGEREF _Toc112709835 \h </w:instrText>
            </w:r>
            <w:r w:rsidR="00B01217">
              <w:rPr>
                <w:noProof/>
                <w:webHidden/>
              </w:rPr>
            </w:r>
            <w:r w:rsidR="00B01217">
              <w:rPr>
                <w:noProof/>
                <w:webHidden/>
              </w:rPr>
              <w:fldChar w:fldCharType="separate"/>
            </w:r>
            <w:r w:rsidR="00B01217">
              <w:rPr>
                <w:noProof/>
                <w:webHidden/>
              </w:rPr>
              <w:t>16</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36" w:history="1">
            <w:r w:rsidR="00B01217" w:rsidRPr="0013514D">
              <w:rPr>
                <w:rStyle w:val="Hyperlink"/>
                <w:rFonts w:ascii="Times New Roman" w:hAnsi="Times New Roman" w:cs="Times New Roman"/>
                <w:noProof/>
              </w:rPr>
              <w:t>3.4 Inability to access health services</w:t>
            </w:r>
            <w:r w:rsidR="00B01217">
              <w:rPr>
                <w:noProof/>
                <w:webHidden/>
              </w:rPr>
              <w:tab/>
            </w:r>
            <w:r w:rsidR="00B01217">
              <w:rPr>
                <w:noProof/>
                <w:webHidden/>
              </w:rPr>
              <w:fldChar w:fldCharType="begin"/>
            </w:r>
            <w:r w:rsidR="00B01217">
              <w:rPr>
                <w:noProof/>
                <w:webHidden/>
              </w:rPr>
              <w:instrText xml:space="preserve"> PAGEREF _Toc112709836 \h </w:instrText>
            </w:r>
            <w:r w:rsidR="00B01217">
              <w:rPr>
                <w:noProof/>
                <w:webHidden/>
              </w:rPr>
            </w:r>
            <w:r w:rsidR="00B01217">
              <w:rPr>
                <w:noProof/>
                <w:webHidden/>
              </w:rPr>
              <w:fldChar w:fldCharType="separate"/>
            </w:r>
            <w:r w:rsidR="00B01217">
              <w:rPr>
                <w:noProof/>
                <w:webHidden/>
              </w:rPr>
              <w:t>17</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37" w:history="1">
            <w:r w:rsidR="00B01217" w:rsidRPr="0013514D">
              <w:rPr>
                <w:rStyle w:val="Hyperlink"/>
                <w:rFonts w:ascii="Times New Roman" w:hAnsi="Times New Roman" w:cs="Times New Roman"/>
                <w:noProof/>
              </w:rPr>
              <w:t>3.5 Loss of Job or Income generating activity</w:t>
            </w:r>
            <w:r w:rsidR="00B01217">
              <w:rPr>
                <w:noProof/>
                <w:webHidden/>
              </w:rPr>
              <w:tab/>
            </w:r>
            <w:r w:rsidR="00B01217">
              <w:rPr>
                <w:noProof/>
                <w:webHidden/>
              </w:rPr>
              <w:fldChar w:fldCharType="begin"/>
            </w:r>
            <w:r w:rsidR="00B01217">
              <w:rPr>
                <w:noProof/>
                <w:webHidden/>
              </w:rPr>
              <w:instrText xml:space="preserve"> PAGEREF _Toc112709837 \h </w:instrText>
            </w:r>
            <w:r w:rsidR="00B01217">
              <w:rPr>
                <w:noProof/>
                <w:webHidden/>
              </w:rPr>
            </w:r>
            <w:r w:rsidR="00B01217">
              <w:rPr>
                <w:noProof/>
                <w:webHidden/>
              </w:rPr>
              <w:fldChar w:fldCharType="separate"/>
            </w:r>
            <w:r w:rsidR="00B01217">
              <w:rPr>
                <w:noProof/>
                <w:webHidden/>
              </w:rPr>
              <w:t>17</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38" w:history="1">
            <w:r w:rsidR="00B01217" w:rsidRPr="0013514D">
              <w:rPr>
                <w:rStyle w:val="Hyperlink"/>
                <w:rFonts w:ascii="Times New Roman" w:hAnsi="Times New Roman" w:cs="Times New Roman"/>
                <w:noProof/>
              </w:rPr>
              <w:t>3.6 COVID-19 Vaccination</w:t>
            </w:r>
            <w:r w:rsidR="00B01217">
              <w:rPr>
                <w:noProof/>
                <w:webHidden/>
              </w:rPr>
              <w:tab/>
            </w:r>
            <w:r w:rsidR="00B01217">
              <w:rPr>
                <w:noProof/>
                <w:webHidden/>
              </w:rPr>
              <w:fldChar w:fldCharType="begin"/>
            </w:r>
            <w:r w:rsidR="00B01217">
              <w:rPr>
                <w:noProof/>
                <w:webHidden/>
              </w:rPr>
              <w:instrText xml:space="preserve"> PAGEREF _Toc112709838 \h </w:instrText>
            </w:r>
            <w:r w:rsidR="00B01217">
              <w:rPr>
                <w:noProof/>
                <w:webHidden/>
              </w:rPr>
            </w:r>
            <w:r w:rsidR="00B01217">
              <w:rPr>
                <w:noProof/>
                <w:webHidden/>
              </w:rPr>
              <w:fldChar w:fldCharType="separate"/>
            </w:r>
            <w:r w:rsidR="00B01217">
              <w:rPr>
                <w:noProof/>
                <w:webHidden/>
              </w:rPr>
              <w:t>18</w:t>
            </w:r>
            <w:r w:rsidR="00B01217">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39" w:history="1">
            <w:r w:rsidR="00B01217" w:rsidRPr="0013514D">
              <w:rPr>
                <w:rStyle w:val="Hyperlink"/>
                <w:rFonts w:ascii="Times New Roman" w:hAnsi="Times New Roman" w:cs="Times New Roman"/>
                <w:noProof/>
              </w:rPr>
              <w:t>DISCUSSION</w:t>
            </w:r>
            <w:r w:rsidR="00B01217">
              <w:rPr>
                <w:noProof/>
                <w:webHidden/>
              </w:rPr>
              <w:tab/>
            </w:r>
            <w:r w:rsidR="00B01217">
              <w:rPr>
                <w:noProof/>
                <w:webHidden/>
              </w:rPr>
              <w:fldChar w:fldCharType="begin"/>
            </w:r>
            <w:r w:rsidR="00B01217">
              <w:rPr>
                <w:noProof/>
                <w:webHidden/>
              </w:rPr>
              <w:instrText xml:space="preserve"> PAGEREF _Toc112709839 \h </w:instrText>
            </w:r>
            <w:r w:rsidR="00B01217">
              <w:rPr>
                <w:noProof/>
                <w:webHidden/>
              </w:rPr>
            </w:r>
            <w:r w:rsidR="00B01217">
              <w:rPr>
                <w:noProof/>
                <w:webHidden/>
              </w:rPr>
              <w:fldChar w:fldCharType="separate"/>
            </w:r>
            <w:r w:rsidR="00B01217">
              <w:rPr>
                <w:noProof/>
                <w:webHidden/>
              </w:rPr>
              <w:t>19</w:t>
            </w:r>
            <w:r w:rsidR="00B01217">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40" w:history="1">
            <w:r w:rsidR="00B01217" w:rsidRPr="0013514D">
              <w:rPr>
                <w:rStyle w:val="Hyperlink"/>
                <w:rFonts w:ascii="Times New Roman" w:hAnsi="Times New Roman" w:cs="Times New Roman"/>
                <w:noProof/>
              </w:rPr>
              <w:t>CONCLUSION</w:t>
            </w:r>
            <w:r w:rsidR="00B01217">
              <w:rPr>
                <w:noProof/>
                <w:webHidden/>
              </w:rPr>
              <w:tab/>
            </w:r>
            <w:r w:rsidR="00B01217">
              <w:rPr>
                <w:noProof/>
                <w:webHidden/>
              </w:rPr>
              <w:fldChar w:fldCharType="begin"/>
            </w:r>
            <w:r w:rsidR="00B01217">
              <w:rPr>
                <w:noProof/>
                <w:webHidden/>
              </w:rPr>
              <w:instrText xml:space="preserve"> PAGEREF _Toc112709840 \h </w:instrText>
            </w:r>
            <w:r w:rsidR="00B01217">
              <w:rPr>
                <w:noProof/>
                <w:webHidden/>
              </w:rPr>
            </w:r>
            <w:r w:rsidR="00B01217">
              <w:rPr>
                <w:noProof/>
                <w:webHidden/>
              </w:rPr>
              <w:fldChar w:fldCharType="separate"/>
            </w:r>
            <w:r w:rsidR="00B01217">
              <w:rPr>
                <w:noProof/>
                <w:webHidden/>
              </w:rPr>
              <w:t>20</w:t>
            </w:r>
            <w:r w:rsidR="00B01217">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41" w:history="1">
            <w:r w:rsidR="00B01217" w:rsidRPr="0013514D">
              <w:rPr>
                <w:rStyle w:val="Hyperlink"/>
                <w:rFonts w:ascii="Times New Roman" w:hAnsi="Times New Roman" w:cs="Times New Roman"/>
                <w:noProof/>
              </w:rPr>
              <w:t>Challenges and Lessons Learnt</w:t>
            </w:r>
            <w:r w:rsidR="00B01217">
              <w:rPr>
                <w:noProof/>
                <w:webHidden/>
              </w:rPr>
              <w:tab/>
            </w:r>
            <w:r w:rsidR="00B01217">
              <w:rPr>
                <w:noProof/>
                <w:webHidden/>
              </w:rPr>
              <w:fldChar w:fldCharType="begin"/>
            </w:r>
            <w:r w:rsidR="00B01217">
              <w:rPr>
                <w:noProof/>
                <w:webHidden/>
              </w:rPr>
              <w:instrText xml:space="preserve"> PAGEREF _Toc112709841 \h </w:instrText>
            </w:r>
            <w:r w:rsidR="00B01217">
              <w:rPr>
                <w:noProof/>
                <w:webHidden/>
              </w:rPr>
            </w:r>
            <w:r w:rsidR="00B01217">
              <w:rPr>
                <w:noProof/>
                <w:webHidden/>
              </w:rPr>
              <w:fldChar w:fldCharType="separate"/>
            </w:r>
            <w:r w:rsidR="00B01217">
              <w:rPr>
                <w:noProof/>
                <w:webHidden/>
              </w:rPr>
              <w:t>20</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42" w:history="1">
            <w:r w:rsidR="00B01217" w:rsidRPr="0013514D">
              <w:rPr>
                <w:rStyle w:val="Hyperlink"/>
                <w:rFonts w:ascii="Times New Roman" w:hAnsi="Times New Roman" w:cs="Times New Roman"/>
                <w:noProof/>
              </w:rPr>
              <w:t>What worked well</w:t>
            </w:r>
            <w:r w:rsidR="00B01217">
              <w:rPr>
                <w:noProof/>
                <w:webHidden/>
              </w:rPr>
              <w:tab/>
            </w:r>
            <w:r w:rsidR="00B01217">
              <w:rPr>
                <w:noProof/>
                <w:webHidden/>
              </w:rPr>
              <w:fldChar w:fldCharType="begin"/>
            </w:r>
            <w:r w:rsidR="00B01217">
              <w:rPr>
                <w:noProof/>
                <w:webHidden/>
              </w:rPr>
              <w:instrText xml:space="preserve"> PAGEREF _Toc112709842 \h </w:instrText>
            </w:r>
            <w:r w:rsidR="00B01217">
              <w:rPr>
                <w:noProof/>
                <w:webHidden/>
              </w:rPr>
            </w:r>
            <w:r w:rsidR="00B01217">
              <w:rPr>
                <w:noProof/>
                <w:webHidden/>
              </w:rPr>
              <w:fldChar w:fldCharType="separate"/>
            </w:r>
            <w:r w:rsidR="00B01217">
              <w:rPr>
                <w:noProof/>
                <w:webHidden/>
              </w:rPr>
              <w:t>20</w:t>
            </w:r>
            <w:r w:rsidR="00B01217">
              <w:rPr>
                <w:noProof/>
                <w:webHidden/>
              </w:rPr>
              <w:fldChar w:fldCharType="end"/>
            </w:r>
          </w:hyperlink>
        </w:p>
        <w:p w:rsidR="00B01217" w:rsidRDefault="00342BE3" w:rsidP="00B01217">
          <w:pPr>
            <w:pStyle w:val="TOC2"/>
            <w:tabs>
              <w:tab w:val="right" w:leader="dot" w:pos="9016"/>
            </w:tabs>
            <w:rPr>
              <w:rFonts w:asciiTheme="minorHAnsi" w:eastAsiaTheme="minorEastAsia" w:hAnsiTheme="minorHAnsi" w:cstheme="minorBidi"/>
              <w:noProof/>
              <w:lang w:val="en-US" w:eastAsia="en-US"/>
            </w:rPr>
          </w:pPr>
          <w:hyperlink w:anchor="_Toc112709843" w:history="1">
            <w:r w:rsidR="00B01217" w:rsidRPr="0013514D">
              <w:rPr>
                <w:rStyle w:val="Hyperlink"/>
                <w:rFonts w:ascii="Times New Roman" w:hAnsi="Times New Roman" w:cs="Times New Roman"/>
                <w:noProof/>
              </w:rPr>
              <w:t>Challenges</w:t>
            </w:r>
            <w:r w:rsidR="00B01217">
              <w:rPr>
                <w:noProof/>
                <w:webHidden/>
              </w:rPr>
              <w:tab/>
            </w:r>
            <w:r w:rsidR="00B01217">
              <w:rPr>
                <w:noProof/>
                <w:webHidden/>
              </w:rPr>
              <w:fldChar w:fldCharType="begin"/>
            </w:r>
            <w:r w:rsidR="00B01217">
              <w:rPr>
                <w:noProof/>
                <w:webHidden/>
              </w:rPr>
              <w:instrText xml:space="preserve"> PAGEREF _Toc112709843 \h </w:instrText>
            </w:r>
            <w:r w:rsidR="00B01217">
              <w:rPr>
                <w:noProof/>
                <w:webHidden/>
              </w:rPr>
            </w:r>
            <w:r w:rsidR="00B01217">
              <w:rPr>
                <w:noProof/>
                <w:webHidden/>
              </w:rPr>
              <w:fldChar w:fldCharType="separate"/>
            </w:r>
            <w:r w:rsidR="00B01217">
              <w:rPr>
                <w:noProof/>
                <w:webHidden/>
              </w:rPr>
              <w:t>20</w:t>
            </w:r>
            <w:r w:rsidR="00B01217">
              <w:rPr>
                <w:noProof/>
                <w:webHidden/>
              </w:rPr>
              <w:fldChar w:fldCharType="end"/>
            </w:r>
          </w:hyperlink>
        </w:p>
        <w:p w:rsidR="00B01217" w:rsidRDefault="00342BE3" w:rsidP="00B01217">
          <w:pPr>
            <w:pStyle w:val="TOC1"/>
            <w:tabs>
              <w:tab w:val="right" w:leader="dot" w:pos="9016"/>
            </w:tabs>
            <w:rPr>
              <w:rFonts w:asciiTheme="minorHAnsi" w:eastAsiaTheme="minorEastAsia" w:hAnsiTheme="minorHAnsi" w:cstheme="minorBidi"/>
              <w:noProof/>
              <w:lang w:val="en-US" w:eastAsia="en-US"/>
            </w:rPr>
          </w:pPr>
          <w:hyperlink w:anchor="_Toc112709844" w:history="1">
            <w:r w:rsidR="00B01217" w:rsidRPr="0013514D">
              <w:rPr>
                <w:rStyle w:val="Hyperlink"/>
                <w:rFonts w:ascii="Times New Roman" w:hAnsi="Times New Roman" w:cs="Times New Roman"/>
                <w:noProof/>
              </w:rPr>
              <w:t>REFERENCES</w:t>
            </w:r>
            <w:r w:rsidR="00B01217">
              <w:rPr>
                <w:noProof/>
                <w:webHidden/>
              </w:rPr>
              <w:tab/>
            </w:r>
            <w:r w:rsidR="00B01217">
              <w:rPr>
                <w:noProof/>
                <w:webHidden/>
              </w:rPr>
              <w:fldChar w:fldCharType="begin"/>
            </w:r>
            <w:r w:rsidR="00B01217">
              <w:rPr>
                <w:noProof/>
                <w:webHidden/>
              </w:rPr>
              <w:instrText xml:space="preserve"> PAGEREF _Toc112709844 \h </w:instrText>
            </w:r>
            <w:r w:rsidR="00B01217">
              <w:rPr>
                <w:noProof/>
                <w:webHidden/>
              </w:rPr>
            </w:r>
            <w:r w:rsidR="00B01217">
              <w:rPr>
                <w:noProof/>
                <w:webHidden/>
              </w:rPr>
              <w:fldChar w:fldCharType="separate"/>
            </w:r>
            <w:r w:rsidR="00B01217">
              <w:rPr>
                <w:noProof/>
                <w:webHidden/>
              </w:rPr>
              <w:t>22</w:t>
            </w:r>
            <w:r w:rsidR="00B01217">
              <w:rPr>
                <w:noProof/>
                <w:webHidden/>
              </w:rPr>
              <w:fldChar w:fldCharType="end"/>
            </w:r>
          </w:hyperlink>
        </w:p>
        <w:p w:rsidR="00B01217" w:rsidRDefault="00B01217" w:rsidP="00B01217">
          <w:pPr>
            <w:rPr>
              <w:b/>
              <w:bCs/>
              <w:noProof/>
            </w:rPr>
          </w:pPr>
          <w:r>
            <w:rPr>
              <w:b/>
              <w:bCs/>
              <w:noProof/>
            </w:rPr>
            <w:fldChar w:fldCharType="end"/>
          </w:r>
        </w:p>
      </w:sdtContent>
    </w:sdt>
    <w:p w:rsidR="00B01217" w:rsidRDefault="00B01217" w:rsidP="00B01217">
      <w:pPr>
        <w:pStyle w:val="Heading1"/>
        <w:rPr>
          <w:sz w:val="24"/>
          <w:szCs w:val="24"/>
        </w:rPr>
      </w:pPr>
    </w:p>
    <w:p w:rsidR="00B01217" w:rsidRDefault="00B01217" w:rsidP="00B01217">
      <w:pPr>
        <w:pStyle w:val="Heading1"/>
        <w:rPr>
          <w:sz w:val="24"/>
          <w:szCs w:val="24"/>
        </w:rPr>
      </w:pPr>
    </w:p>
    <w:p w:rsidR="00B01217" w:rsidRDefault="00B01217" w:rsidP="00B01217">
      <w:pPr>
        <w:pStyle w:val="Heading1"/>
        <w:rPr>
          <w:sz w:val="24"/>
          <w:szCs w:val="24"/>
        </w:rPr>
      </w:pPr>
    </w:p>
    <w:p w:rsidR="00B01217" w:rsidRDefault="00B01217" w:rsidP="00B01217">
      <w:pPr>
        <w:pStyle w:val="Heading1"/>
        <w:rPr>
          <w:sz w:val="24"/>
          <w:szCs w:val="24"/>
        </w:rPr>
      </w:pPr>
    </w:p>
    <w:p w:rsidR="00B01217" w:rsidRDefault="00B01217" w:rsidP="00B01217">
      <w:pPr>
        <w:pStyle w:val="Heading1"/>
        <w:rPr>
          <w:sz w:val="24"/>
          <w:szCs w:val="24"/>
        </w:rPr>
      </w:pPr>
    </w:p>
    <w:p w:rsidR="00B01217" w:rsidRDefault="00B01217" w:rsidP="00B01217">
      <w:pPr>
        <w:pStyle w:val="Heading1"/>
        <w:rPr>
          <w:sz w:val="24"/>
          <w:szCs w:val="24"/>
        </w:rPr>
      </w:pPr>
    </w:p>
    <w:p w:rsidR="00B01217" w:rsidRDefault="00B01217" w:rsidP="00B01217">
      <w:pPr>
        <w:pStyle w:val="Heading1"/>
        <w:rPr>
          <w:sz w:val="24"/>
          <w:szCs w:val="24"/>
        </w:rPr>
      </w:pPr>
    </w:p>
    <w:p w:rsidR="00B01217" w:rsidRDefault="00B01217" w:rsidP="00B01217">
      <w:pPr>
        <w:pStyle w:val="Heading1"/>
        <w:rPr>
          <w:sz w:val="24"/>
          <w:szCs w:val="24"/>
        </w:rPr>
      </w:pPr>
    </w:p>
    <w:p w:rsidR="00B01217" w:rsidRPr="008F72B5" w:rsidRDefault="00B01217" w:rsidP="00B01217"/>
    <w:p w:rsidR="00B01217" w:rsidRDefault="00B01217" w:rsidP="00B01217">
      <w:pPr>
        <w:pStyle w:val="Heading1"/>
        <w:rPr>
          <w:sz w:val="24"/>
          <w:szCs w:val="24"/>
        </w:rPr>
      </w:pPr>
    </w:p>
    <w:p w:rsidR="00B01217" w:rsidRDefault="00B01217" w:rsidP="00B01217">
      <w:pPr>
        <w:pStyle w:val="Heading1"/>
        <w:rPr>
          <w:sz w:val="24"/>
          <w:szCs w:val="24"/>
        </w:rPr>
      </w:pPr>
    </w:p>
    <w:p w:rsidR="00B01217" w:rsidRDefault="00B01217" w:rsidP="00B01217"/>
    <w:p w:rsidR="00B01217" w:rsidRDefault="00B01217" w:rsidP="00B01217"/>
    <w:p w:rsidR="00B01217" w:rsidRDefault="00B01217" w:rsidP="00B01217"/>
    <w:p w:rsidR="00B01217" w:rsidRDefault="00B01217" w:rsidP="00B01217"/>
    <w:p w:rsidR="00B01217" w:rsidRPr="00090DFD" w:rsidRDefault="00B01217" w:rsidP="00B01217"/>
    <w:p w:rsidR="00B01217" w:rsidRDefault="00B01217" w:rsidP="00B01217">
      <w:pPr>
        <w:pStyle w:val="Heading1"/>
        <w:rPr>
          <w:sz w:val="24"/>
          <w:szCs w:val="24"/>
        </w:rPr>
      </w:pPr>
      <w:bookmarkStart w:id="4" w:name="_Toc112709807"/>
      <w:r w:rsidRPr="00CA577F">
        <w:rPr>
          <w:sz w:val="24"/>
          <w:szCs w:val="24"/>
        </w:rPr>
        <w:lastRenderedPageBreak/>
        <w:t>Table of figures</w:t>
      </w:r>
      <w:bookmarkEnd w:id="4"/>
    </w:p>
    <w:p w:rsidR="00B01217" w:rsidRDefault="00B01217" w:rsidP="00B01217">
      <w:pPr>
        <w:pStyle w:val="TableofFigures"/>
        <w:tabs>
          <w:tab w:val="right" w:leader="dot" w:pos="9016"/>
        </w:tabs>
        <w:rPr>
          <w:rFonts w:asciiTheme="minorHAnsi" w:eastAsiaTheme="minorEastAsia" w:hAnsiTheme="minorHAnsi" w:cstheme="minorBidi"/>
          <w:noProof/>
          <w:lang w:val="en-US" w:eastAsia="en-US"/>
        </w:rPr>
      </w:pPr>
      <w:r>
        <w:fldChar w:fldCharType="begin"/>
      </w:r>
      <w:r>
        <w:instrText xml:space="preserve"> TOC \h \z \c "Figure" </w:instrText>
      </w:r>
      <w:r>
        <w:fldChar w:fldCharType="separate"/>
      </w:r>
      <w:hyperlink w:anchor="_Toc111642671" w:history="1">
        <w:r w:rsidRPr="006612C2">
          <w:rPr>
            <w:rStyle w:val="Hyperlink"/>
            <w:rFonts w:ascii="Times New Roman" w:hAnsi="Times New Roman" w:cs="Times New Roman"/>
            <w:noProof/>
          </w:rPr>
          <w:t>Figure 1.  Weekly recruitment of study participants over time</w:t>
        </w:r>
        <w:r>
          <w:rPr>
            <w:noProof/>
            <w:webHidden/>
          </w:rPr>
          <w:tab/>
        </w:r>
        <w:r>
          <w:rPr>
            <w:noProof/>
            <w:webHidden/>
          </w:rPr>
          <w:fldChar w:fldCharType="begin"/>
        </w:r>
        <w:r>
          <w:rPr>
            <w:noProof/>
            <w:webHidden/>
          </w:rPr>
          <w:instrText xml:space="preserve"> PAGEREF _Toc111642671 \h </w:instrText>
        </w:r>
        <w:r>
          <w:rPr>
            <w:noProof/>
            <w:webHidden/>
          </w:rPr>
        </w:r>
        <w:r>
          <w:rPr>
            <w:noProof/>
            <w:webHidden/>
          </w:rPr>
          <w:fldChar w:fldCharType="separate"/>
        </w:r>
        <w:r>
          <w:rPr>
            <w:noProof/>
            <w:webHidden/>
          </w:rPr>
          <w:t>12</w:t>
        </w:r>
        <w:r>
          <w:rPr>
            <w:noProof/>
            <w:webHidden/>
          </w:rPr>
          <w:fldChar w:fldCharType="end"/>
        </w:r>
      </w:hyperlink>
    </w:p>
    <w:p w:rsidR="00B01217" w:rsidRDefault="00342BE3" w:rsidP="00B01217">
      <w:pPr>
        <w:pStyle w:val="TableofFigures"/>
        <w:tabs>
          <w:tab w:val="right" w:leader="dot" w:pos="9016"/>
        </w:tabs>
        <w:rPr>
          <w:rFonts w:asciiTheme="minorHAnsi" w:eastAsiaTheme="minorEastAsia" w:hAnsiTheme="minorHAnsi" w:cstheme="minorBidi"/>
          <w:noProof/>
          <w:lang w:val="en-US" w:eastAsia="en-US"/>
        </w:rPr>
      </w:pPr>
      <w:hyperlink w:anchor="_Toc111642672" w:history="1">
        <w:r w:rsidR="00B01217" w:rsidRPr="006612C2">
          <w:rPr>
            <w:rStyle w:val="Hyperlink"/>
            <w:rFonts w:ascii="Times New Roman" w:hAnsi="Times New Roman" w:cs="Times New Roman"/>
            <w:noProof/>
          </w:rPr>
          <w:t>Figure 2. Prevalence of SARS CoV-2 antibodies by age and residence</w:t>
        </w:r>
        <w:r w:rsidR="00B01217">
          <w:rPr>
            <w:noProof/>
            <w:webHidden/>
          </w:rPr>
          <w:tab/>
        </w:r>
        <w:r w:rsidR="00B01217">
          <w:rPr>
            <w:noProof/>
            <w:webHidden/>
          </w:rPr>
          <w:fldChar w:fldCharType="begin"/>
        </w:r>
        <w:r w:rsidR="00B01217">
          <w:rPr>
            <w:noProof/>
            <w:webHidden/>
          </w:rPr>
          <w:instrText xml:space="preserve"> PAGEREF _Toc111642672 \h </w:instrText>
        </w:r>
        <w:r w:rsidR="00B01217">
          <w:rPr>
            <w:noProof/>
            <w:webHidden/>
          </w:rPr>
        </w:r>
        <w:r w:rsidR="00B01217">
          <w:rPr>
            <w:noProof/>
            <w:webHidden/>
          </w:rPr>
          <w:fldChar w:fldCharType="separate"/>
        </w:r>
        <w:r w:rsidR="00B01217">
          <w:rPr>
            <w:noProof/>
            <w:webHidden/>
          </w:rPr>
          <w:t>15</w:t>
        </w:r>
        <w:r w:rsidR="00B01217">
          <w:rPr>
            <w:noProof/>
            <w:webHidden/>
          </w:rPr>
          <w:fldChar w:fldCharType="end"/>
        </w:r>
      </w:hyperlink>
    </w:p>
    <w:p w:rsidR="00B01217" w:rsidRDefault="00342BE3" w:rsidP="00B01217">
      <w:pPr>
        <w:pStyle w:val="TableofFigures"/>
        <w:tabs>
          <w:tab w:val="right" w:leader="dot" w:pos="9016"/>
        </w:tabs>
        <w:rPr>
          <w:rFonts w:asciiTheme="minorHAnsi" w:eastAsiaTheme="minorEastAsia" w:hAnsiTheme="minorHAnsi" w:cstheme="minorBidi"/>
          <w:noProof/>
          <w:lang w:val="en-US" w:eastAsia="en-US"/>
        </w:rPr>
      </w:pPr>
      <w:hyperlink w:anchor="_Toc111642673" w:history="1">
        <w:r w:rsidR="00B01217" w:rsidRPr="006612C2">
          <w:rPr>
            <w:rStyle w:val="Hyperlink"/>
            <w:rFonts w:ascii="Times New Roman" w:hAnsi="Times New Roman" w:cs="Times New Roman"/>
            <w:noProof/>
          </w:rPr>
          <w:t>Figure 3.  Prevalence of SARS CoV-2 by gender and residence</w:t>
        </w:r>
        <w:r w:rsidR="00B01217">
          <w:rPr>
            <w:noProof/>
            <w:webHidden/>
          </w:rPr>
          <w:tab/>
        </w:r>
        <w:r w:rsidR="00B01217">
          <w:rPr>
            <w:noProof/>
            <w:webHidden/>
          </w:rPr>
          <w:fldChar w:fldCharType="begin"/>
        </w:r>
        <w:r w:rsidR="00B01217">
          <w:rPr>
            <w:noProof/>
            <w:webHidden/>
          </w:rPr>
          <w:instrText xml:space="preserve"> PAGEREF _Toc111642673 \h </w:instrText>
        </w:r>
        <w:r w:rsidR="00B01217">
          <w:rPr>
            <w:noProof/>
            <w:webHidden/>
          </w:rPr>
        </w:r>
        <w:r w:rsidR="00B01217">
          <w:rPr>
            <w:noProof/>
            <w:webHidden/>
          </w:rPr>
          <w:fldChar w:fldCharType="separate"/>
        </w:r>
        <w:r w:rsidR="00B01217">
          <w:rPr>
            <w:noProof/>
            <w:webHidden/>
          </w:rPr>
          <w:t>15</w:t>
        </w:r>
        <w:r w:rsidR="00B01217">
          <w:rPr>
            <w:noProof/>
            <w:webHidden/>
          </w:rPr>
          <w:fldChar w:fldCharType="end"/>
        </w:r>
      </w:hyperlink>
    </w:p>
    <w:p w:rsidR="00B01217" w:rsidRDefault="00342BE3" w:rsidP="00B01217">
      <w:pPr>
        <w:pStyle w:val="TableofFigures"/>
        <w:tabs>
          <w:tab w:val="right" w:leader="dot" w:pos="9016"/>
        </w:tabs>
        <w:rPr>
          <w:rFonts w:asciiTheme="minorHAnsi" w:eastAsiaTheme="minorEastAsia" w:hAnsiTheme="minorHAnsi" w:cstheme="minorBidi"/>
          <w:noProof/>
          <w:lang w:val="en-US" w:eastAsia="en-US"/>
        </w:rPr>
      </w:pPr>
      <w:hyperlink w:anchor="_Toc111642674" w:history="1">
        <w:r w:rsidR="00B01217" w:rsidRPr="006612C2">
          <w:rPr>
            <w:rStyle w:val="Hyperlink"/>
            <w:rFonts w:ascii="Times New Roman" w:hAnsi="Times New Roman" w:cs="Times New Roman"/>
            <w:noProof/>
          </w:rPr>
          <w:t>Figure 4. Risk perception and SARS CoV-2 prevalence by gender and residence</w:t>
        </w:r>
        <w:r w:rsidR="00B01217">
          <w:rPr>
            <w:noProof/>
            <w:webHidden/>
          </w:rPr>
          <w:tab/>
        </w:r>
        <w:r w:rsidR="00B01217">
          <w:rPr>
            <w:noProof/>
            <w:webHidden/>
          </w:rPr>
          <w:fldChar w:fldCharType="begin"/>
        </w:r>
        <w:r w:rsidR="00B01217">
          <w:rPr>
            <w:noProof/>
            <w:webHidden/>
          </w:rPr>
          <w:instrText xml:space="preserve"> PAGEREF _Toc111642674 \h </w:instrText>
        </w:r>
        <w:r w:rsidR="00B01217">
          <w:rPr>
            <w:noProof/>
            <w:webHidden/>
          </w:rPr>
        </w:r>
        <w:r w:rsidR="00B01217">
          <w:rPr>
            <w:noProof/>
            <w:webHidden/>
          </w:rPr>
          <w:fldChar w:fldCharType="separate"/>
        </w:r>
        <w:r w:rsidR="00B01217">
          <w:rPr>
            <w:noProof/>
            <w:webHidden/>
          </w:rPr>
          <w:t>16</w:t>
        </w:r>
        <w:r w:rsidR="00B01217">
          <w:rPr>
            <w:noProof/>
            <w:webHidden/>
          </w:rPr>
          <w:fldChar w:fldCharType="end"/>
        </w:r>
      </w:hyperlink>
    </w:p>
    <w:p w:rsidR="00B01217" w:rsidRDefault="00342BE3" w:rsidP="00B01217">
      <w:pPr>
        <w:pStyle w:val="TableofFigures"/>
        <w:tabs>
          <w:tab w:val="right" w:leader="dot" w:pos="9016"/>
        </w:tabs>
        <w:rPr>
          <w:rFonts w:asciiTheme="minorHAnsi" w:eastAsiaTheme="minorEastAsia" w:hAnsiTheme="minorHAnsi" w:cstheme="minorBidi"/>
          <w:noProof/>
          <w:lang w:val="en-US" w:eastAsia="en-US"/>
        </w:rPr>
      </w:pPr>
      <w:hyperlink w:anchor="_Toc111642675" w:history="1">
        <w:r w:rsidR="00B01217" w:rsidRPr="006612C2">
          <w:rPr>
            <w:rStyle w:val="Hyperlink"/>
            <w:rFonts w:ascii="Times New Roman" w:hAnsi="Times New Roman" w:cs="Times New Roman"/>
            <w:noProof/>
          </w:rPr>
          <w:t>Figure 5. Risk perception and SARS CoV-2 prevalence by gender and residence</w:t>
        </w:r>
        <w:r w:rsidR="00B01217">
          <w:rPr>
            <w:noProof/>
            <w:webHidden/>
          </w:rPr>
          <w:tab/>
        </w:r>
        <w:r w:rsidR="00B01217">
          <w:rPr>
            <w:noProof/>
            <w:webHidden/>
          </w:rPr>
          <w:fldChar w:fldCharType="begin"/>
        </w:r>
        <w:r w:rsidR="00B01217">
          <w:rPr>
            <w:noProof/>
            <w:webHidden/>
          </w:rPr>
          <w:instrText xml:space="preserve"> PAGEREF _Toc111642675 \h </w:instrText>
        </w:r>
        <w:r w:rsidR="00B01217">
          <w:rPr>
            <w:noProof/>
            <w:webHidden/>
          </w:rPr>
        </w:r>
        <w:r w:rsidR="00B01217">
          <w:rPr>
            <w:noProof/>
            <w:webHidden/>
          </w:rPr>
          <w:fldChar w:fldCharType="separate"/>
        </w:r>
        <w:r w:rsidR="00B01217">
          <w:rPr>
            <w:noProof/>
            <w:webHidden/>
          </w:rPr>
          <w:t>16</w:t>
        </w:r>
        <w:r w:rsidR="00B01217">
          <w:rPr>
            <w:noProof/>
            <w:webHidden/>
          </w:rPr>
          <w:fldChar w:fldCharType="end"/>
        </w:r>
      </w:hyperlink>
    </w:p>
    <w:p w:rsidR="00B01217" w:rsidRDefault="00342BE3" w:rsidP="00B01217">
      <w:pPr>
        <w:pStyle w:val="TableofFigures"/>
        <w:tabs>
          <w:tab w:val="right" w:leader="dot" w:pos="9016"/>
        </w:tabs>
        <w:rPr>
          <w:rFonts w:asciiTheme="minorHAnsi" w:eastAsiaTheme="minorEastAsia" w:hAnsiTheme="minorHAnsi" w:cstheme="minorBidi"/>
          <w:noProof/>
          <w:lang w:val="en-US" w:eastAsia="en-US"/>
        </w:rPr>
      </w:pPr>
      <w:hyperlink w:anchor="_Toc111642676" w:history="1">
        <w:r w:rsidR="00B01217" w:rsidRPr="006612C2">
          <w:rPr>
            <w:rStyle w:val="Hyperlink"/>
            <w:rFonts w:ascii="Times New Roman" w:hAnsi="Times New Roman" w:cs="Times New Roman"/>
            <w:noProof/>
          </w:rPr>
          <w:t>Figure 6. Prevalence of SAR-COV-2 antibodies by work status and place of residence</w:t>
        </w:r>
        <w:r w:rsidR="00B01217">
          <w:rPr>
            <w:noProof/>
            <w:webHidden/>
          </w:rPr>
          <w:tab/>
        </w:r>
        <w:r w:rsidR="00B01217">
          <w:rPr>
            <w:noProof/>
            <w:webHidden/>
          </w:rPr>
          <w:fldChar w:fldCharType="begin"/>
        </w:r>
        <w:r w:rsidR="00B01217">
          <w:rPr>
            <w:noProof/>
            <w:webHidden/>
          </w:rPr>
          <w:instrText xml:space="preserve"> PAGEREF _Toc111642676 \h </w:instrText>
        </w:r>
        <w:r w:rsidR="00B01217">
          <w:rPr>
            <w:noProof/>
            <w:webHidden/>
          </w:rPr>
        </w:r>
        <w:r w:rsidR="00B01217">
          <w:rPr>
            <w:noProof/>
            <w:webHidden/>
          </w:rPr>
          <w:fldChar w:fldCharType="separate"/>
        </w:r>
        <w:r w:rsidR="00B01217">
          <w:rPr>
            <w:noProof/>
            <w:webHidden/>
          </w:rPr>
          <w:t>17</w:t>
        </w:r>
        <w:r w:rsidR="00B01217">
          <w:rPr>
            <w:noProof/>
            <w:webHidden/>
          </w:rPr>
          <w:fldChar w:fldCharType="end"/>
        </w:r>
      </w:hyperlink>
    </w:p>
    <w:p w:rsidR="00B01217" w:rsidRDefault="00342BE3" w:rsidP="00B01217">
      <w:pPr>
        <w:pStyle w:val="TableofFigures"/>
        <w:tabs>
          <w:tab w:val="right" w:leader="dot" w:pos="9016"/>
        </w:tabs>
        <w:rPr>
          <w:rFonts w:asciiTheme="minorHAnsi" w:eastAsiaTheme="minorEastAsia" w:hAnsiTheme="minorHAnsi" w:cstheme="minorBidi"/>
          <w:noProof/>
          <w:lang w:val="en-US" w:eastAsia="en-US"/>
        </w:rPr>
      </w:pPr>
      <w:hyperlink w:anchor="_Toc111642677" w:history="1">
        <w:r w:rsidR="00B01217" w:rsidRPr="006612C2">
          <w:rPr>
            <w:rStyle w:val="Hyperlink"/>
            <w:rFonts w:ascii="Times New Roman" w:hAnsi="Times New Roman" w:cs="Times New Roman"/>
            <w:noProof/>
          </w:rPr>
          <w:t>Figure 7. Prevalence of SAR-COV-2 antibodies by vaccination status and place of residence</w:t>
        </w:r>
        <w:r w:rsidR="00B01217">
          <w:rPr>
            <w:noProof/>
            <w:webHidden/>
          </w:rPr>
          <w:tab/>
        </w:r>
        <w:r w:rsidR="00B01217">
          <w:rPr>
            <w:noProof/>
            <w:webHidden/>
          </w:rPr>
          <w:fldChar w:fldCharType="begin"/>
        </w:r>
        <w:r w:rsidR="00B01217">
          <w:rPr>
            <w:noProof/>
            <w:webHidden/>
          </w:rPr>
          <w:instrText xml:space="preserve"> PAGEREF _Toc111642677 \h </w:instrText>
        </w:r>
        <w:r w:rsidR="00B01217">
          <w:rPr>
            <w:noProof/>
            <w:webHidden/>
          </w:rPr>
        </w:r>
        <w:r w:rsidR="00B01217">
          <w:rPr>
            <w:noProof/>
            <w:webHidden/>
          </w:rPr>
          <w:fldChar w:fldCharType="separate"/>
        </w:r>
        <w:r w:rsidR="00B01217">
          <w:rPr>
            <w:noProof/>
            <w:webHidden/>
          </w:rPr>
          <w:t>17</w:t>
        </w:r>
        <w:r w:rsidR="00B01217">
          <w:rPr>
            <w:noProof/>
            <w:webHidden/>
          </w:rPr>
          <w:fldChar w:fldCharType="end"/>
        </w:r>
      </w:hyperlink>
    </w:p>
    <w:p w:rsidR="00B01217" w:rsidRDefault="00B01217" w:rsidP="00B01217">
      <w:r>
        <w:fldChar w:fldCharType="end"/>
      </w:r>
    </w:p>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Pr="00CA577F" w:rsidRDefault="00B01217" w:rsidP="00B01217"/>
    <w:p w:rsidR="00B01217" w:rsidRDefault="00B01217" w:rsidP="00B01217">
      <w:pPr>
        <w:pStyle w:val="Heading1"/>
        <w:rPr>
          <w:sz w:val="24"/>
          <w:szCs w:val="24"/>
        </w:rPr>
      </w:pPr>
      <w:bookmarkStart w:id="5" w:name="_Toc112709808"/>
      <w:r>
        <w:rPr>
          <w:sz w:val="24"/>
          <w:szCs w:val="24"/>
        </w:rPr>
        <w:t>List of t</w:t>
      </w:r>
      <w:r w:rsidRPr="001F4AF1">
        <w:rPr>
          <w:sz w:val="24"/>
          <w:szCs w:val="24"/>
        </w:rPr>
        <w:t>ables</w:t>
      </w:r>
      <w:bookmarkEnd w:id="5"/>
    </w:p>
    <w:p w:rsidR="00B01217" w:rsidRDefault="00B01217" w:rsidP="00B01217">
      <w:pPr>
        <w:pStyle w:val="TableofFigures"/>
        <w:tabs>
          <w:tab w:val="right" w:leader="dot" w:pos="9016"/>
        </w:tabs>
        <w:rPr>
          <w:rFonts w:asciiTheme="minorHAnsi" w:eastAsiaTheme="minorEastAsia" w:hAnsiTheme="minorHAnsi" w:cstheme="minorBidi"/>
          <w:noProof/>
          <w:lang w:val="en-US" w:eastAsia="en-US"/>
        </w:rPr>
      </w:pPr>
      <w:r>
        <w:fldChar w:fldCharType="begin"/>
      </w:r>
      <w:r>
        <w:instrText xml:space="preserve"> TOC \h \z \c "Table" </w:instrText>
      </w:r>
      <w:r>
        <w:fldChar w:fldCharType="separate"/>
      </w:r>
      <w:hyperlink w:anchor="_Toc111641457" w:history="1">
        <w:r w:rsidRPr="00833588">
          <w:rPr>
            <w:rStyle w:val="Hyperlink"/>
            <w:rFonts w:ascii="Times New Roman" w:hAnsi="Times New Roman" w:cs="Times New Roman"/>
            <w:noProof/>
          </w:rPr>
          <w:t>Table 1. Participant distribution by age</w:t>
        </w:r>
        <w:r>
          <w:rPr>
            <w:noProof/>
            <w:webHidden/>
          </w:rPr>
          <w:tab/>
        </w:r>
        <w:r>
          <w:rPr>
            <w:noProof/>
            <w:webHidden/>
          </w:rPr>
          <w:fldChar w:fldCharType="begin"/>
        </w:r>
        <w:r>
          <w:rPr>
            <w:noProof/>
            <w:webHidden/>
          </w:rPr>
          <w:instrText xml:space="preserve"> PAGEREF _Toc111641457 \h </w:instrText>
        </w:r>
        <w:r>
          <w:rPr>
            <w:noProof/>
            <w:webHidden/>
          </w:rPr>
        </w:r>
        <w:r>
          <w:rPr>
            <w:noProof/>
            <w:webHidden/>
          </w:rPr>
          <w:fldChar w:fldCharType="separate"/>
        </w:r>
        <w:r>
          <w:rPr>
            <w:noProof/>
            <w:webHidden/>
          </w:rPr>
          <w:t>13</w:t>
        </w:r>
        <w:r>
          <w:rPr>
            <w:noProof/>
            <w:webHidden/>
          </w:rPr>
          <w:fldChar w:fldCharType="end"/>
        </w:r>
      </w:hyperlink>
    </w:p>
    <w:p w:rsidR="00B01217" w:rsidRDefault="00342BE3" w:rsidP="00B01217">
      <w:pPr>
        <w:pStyle w:val="TableofFigures"/>
        <w:tabs>
          <w:tab w:val="right" w:leader="dot" w:pos="9016"/>
        </w:tabs>
        <w:rPr>
          <w:rFonts w:asciiTheme="minorHAnsi" w:eastAsiaTheme="minorEastAsia" w:hAnsiTheme="minorHAnsi" w:cstheme="minorBidi"/>
          <w:noProof/>
          <w:lang w:val="en-US" w:eastAsia="en-US"/>
        </w:rPr>
      </w:pPr>
      <w:hyperlink w:anchor="_Toc111641458" w:history="1">
        <w:r w:rsidR="00B01217" w:rsidRPr="00833588">
          <w:rPr>
            <w:rStyle w:val="Hyperlink"/>
            <w:rFonts w:ascii="Times New Roman" w:hAnsi="Times New Roman" w:cs="Times New Roman"/>
            <w:noProof/>
          </w:rPr>
          <w:t>Table 2. Distribution of participants by gender, religion and level of education</w:t>
        </w:r>
        <w:r w:rsidR="00B01217">
          <w:rPr>
            <w:noProof/>
            <w:webHidden/>
          </w:rPr>
          <w:tab/>
        </w:r>
        <w:r w:rsidR="00B01217">
          <w:rPr>
            <w:noProof/>
            <w:webHidden/>
          </w:rPr>
          <w:fldChar w:fldCharType="begin"/>
        </w:r>
        <w:r w:rsidR="00B01217">
          <w:rPr>
            <w:noProof/>
            <w:webHidden/>
          </w:rPr>
          <w:instrText xml:space="preserve"> PAGEREF _Toc111641458 \h </w:instrText>
        </w:r>
        <w:r w:rsidR="00B01217">
          <w:rPr>
            <w:noProof/>
            <w:webHidden/>
          </w:rPr>
        </w:r>
        <w:r w:rsidR="00B01217">
          <w:rPr>
            <w:noProof/>
            <w:webHidden/>
          </w:rPr>
          <w:fldChar w:fldCharType="separate"/>
        </w:r>
        <w:r w:rsidR="00B01217">
          <w:rPr>
            <w:noProof/>
            <w:webHidden/>
          </w:rPr>
          <w:t>14</w:t>
        </w:r>
        <w:r w:rsidR="00B01217">
          <w:rPr>
            <w:noProof/>
            <w:webHidden/>
          </w:rPr>
          <w:fldChar w:fldCharType="end"/>
        </w:r>
      </w:hyperlink>
    </w:p>
    <w:p w:rsidR="00B01217" w:rsidRDefault="00B01217" w:rsidP="00B01217">
      <w:r>
        <w:fldChar w:fldCharType="end"/>
      </w:r>
    </w:p>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Pr="002F7DB0" w:rsidRDefault="00B01217" w:rsidP="00B01217"/>
    <w:p w:rsidR="00B01217" w:rsidRPr="00FF3E0B" w:rsidRDefault="00B01217" w:rsidP="00B01217">
      <w:pPr>
        <w:pStyle w:val="Heading1"/>
        <w:jc w:val="center"/>
        <w:rPr>
          <w:rFonts w:ascii="Times New Roman" w:hAnsi="Times New Roman" w:cs="Times New Roman"/>
          <w:sz w:val="24"/>
          <w:szCs w:val="24"/>
        </w:rPr>
      </w:pPr>
      <w:bookmarkStart w:id="6" w:name="_Toc112709809"/>
      <w:r w:rsidRPr="00FF3E0B">
        <w:rPr>
          <w:rFonts w:ascii="Times New Roman" w:hAnsi="Times New Roman" w:cs="Times New Roman"/>
          <w:sz w:val="24"/>
          <w:szCs w:val="24"/>
        </w:rPr>
        <w:lastRenderedPageBreak/>
        <w:t>List of acronyms</w:t>
      </w:r>
      <w:bookmarkEnd w:id="6"/>
    </w:p>
    <w:p w:rsidR="00B01217" w:rsidRDefault="00B01217" w:rsidP="00B01217"/>
    <w:tbl>
      <w:tblPr>
        <w:tblW w:w="9180" w:type="dxa"/>
        <w:tblLook w:val="04A0" w:firstRow="1" w:lastRow="0" w:firstColumn="1" w:lastColumn="0" w:noHBand="0" w:noVBand="1"/>
      </w:tblPr>
      <w:tblGrid>
        <w:gridCol w:w="2000"/>
        <w:gridCol w:w="7180"/>
      </w:tblGrid>
      <w:tr w:rsidR="00B01217" w:rsidRPr="00FF3E0B" w:rsidTr="00A429C8">
        <w:trPr>
          <w:trHeight w:val="290"/>
        </w:trPr>
        <w:tc>
          <w:tcPr>
            <w:tcW w:w="200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b/>
                <w:color w:val="000000"/>
                <w:sz w:val="24"/>
                <w:szCs w:val="24"/>
              </w:rPr>
            </w:pPr>
            <w:r w:rsidRPr="00FF3E0B">
              <w:rPr>
                <w:rFonts w:ascii="Times New Roman" w:eastAsia="Times New Roman" w:hAnsi="Times New Roman" w:cs="Times New Roman"/>
                <w:b/>
                <w:color w:val="000000"/>
                <w:sz w:val="24"/>
                <w:szCs w:val="24"/>
              </w:rPr>
              <w:t xml:space="preserve">Abbreviation </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b/>
                <w:color w:val="000000"/>
                <w:sz w:val="24"/>
                <w:szCs w:val="24"/>
              </w:rPr>
            </w:pPr>
            <w:r w:rsidRPr="00FF3E0B">
              <w:rPr>
                <w:rFonts w:ascii="Times New Roman" w:eastAsia="Times New Roman" w:hAnsi="Times New Roman" w:cs="Times New Roman"/>
                <w:b/>
                <w:color w:val="000000"/>
                <w:sz w:val="24"/>
                <w:szCs w:val="24"/>
              </w:rPr>
              <w:t>Definition</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APHRC</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 xml:space="preserve">African Population and Health Research Center </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CDC</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Center for Disease Control</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CGHR</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Center for Global Health Research</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COVID-19</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Corona Virus Disease 2019</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DFID</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 xml:space="preserve">Department for International Development </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ELISA</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Enzyme-Linked Immunosorbent Assay</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HDSS</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Health and Demographic Surveillance System</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KEMRI</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 xml:space="preserve">Kenya Medical Research Institute </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KWTRP</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KEMRI-Wellcome Trust Research Programme</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NUHDSS</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Nairobi Urban Health and Demographic Surveillance System</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SARSCoV-2</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Severe Acute Respiratory Syndrome Corona Virus 2</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KEMIS</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hAnsi="Times New Roman" w:cs="Times New Roman"/>
                <w:sz w:val="24"/>
                <w:szCs w:val="24"/>
              </w:rPr>
              <w:t>Kenya Multisite Integrated Surveillance of COVID-19 and other Pathogens</w:t>
            </w:r>
            <w:r w:rsidRPr="00FF3E0B">
              <w:rPr>
                <w:rFonts w:ascii="Times New Roman" w:eastAsia="Times New Roman" w:hAnsi="Times New Roman" w:cs="Times New Roman"/>
                <w:color w:val="000000"/>
                <w:sz w:val="24"/>
                <w:szCs w:val="24"/>
              </w:rPr>
              <w:t xml:space="preserve"> </w:t>
            </w:r>
          </w:p>
        </w:tc>
      </w:tr>
      <w:tr w:rsidR="00B01217" w:rsidRPr="00FF3E0B" w:rsidTr="00A429C8">
        <w:trPr>
          <w:trHeight w:val="290"/>
        </w:trPr>
        <w:tc>
          <w:tcPr>
            <w:tcW w:w="2000" w:type="dxa"/>
            <w:tcBorders>
              <w:top w:val="nil"/>
              <w:left w:val="nil"/>
              <w:bottom w:val="nil"/>
              <w:right w:val="nil"/>
            </w:tcBorders>
            <w:shd w:val="clear" w:color="auto" w:fill="auto"/>
            <w:noWrap/>
            <w:vAlign w:val="center"/>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SOP</w:t>
            </w:r>
          </w:p>
        </w:tc>
        <w:tc>
          <w:tcPr>
            <w:tcW w:w="7180" w:type="dxa"/>
            <w:tcBorders>
              <w:top w:val="nil"/>
              <w:left w:val="nil"/>
              <w:bottom w:val="nil"/>
              <w:right w:val="nil"/>
            </w:tcBorders>
            <w:shd w:val="clear" w:color="auto" w:fill="auto"/>
            <w:noWrap/>
            <w:vAlign w:val="bottom"/>
            <w:hideMark/>
          </w:tcPr>
          <w:p w:rsidR="00B01217" w:rsidRPr="00FF3E0B" w:rsidRDefault="00B01217" w:rsidP="00A429C8">
            <w:pPr>
              <w:spacing w:after="0" w:line="240" w:lineRule="auto"/>
              <w:rPr>
                <w:rFonts w:ascii="Times New Roman" w:eastAsia="Times New Roman" w:hAnsi="Times New Roman" w:cs="Times New Roman"/>
                <w:color w:val="000000"/>
                <w:sz w:val="24"/>
                <w:szCs w:val="24"/>
              </w:rPr>
            </w:pPr>
            <w:r w:rsidRPr="00FF3E0B">
              <w:rPr>
                <w:rFonts w:ascii="Times New Roman" w:eastAsia="Times New Roman" w:hAnsi="Times New Roman" w:cs="Times New Roman"/>
                <w:color w:val="000000"/>
                <w:sz w:val="24"/>
                <w:szCs w:val="24"/>
              </w:rPr>
              <w:t>Standard Operating Procedures</w:t>
            </w:r>
          </w:p>
        </w:tc>
      </w:tr>
    </w:tbl>
    <w:p w:rsidR="00B01217" w:rsidRPr="00FB4264" w:rsidRDefault="00B01217" w:rsidP="00B01217">
      <w:pPr>
        <w:sectPr w:rsidR="00B01217" w:rsidRPr="00FB4264" w:rsidSect="00FC3099">
          <w:footerReference w:type="default" r:id="rId7"/>
          <w:pgSz w:w="11906" w:h="16838"/>
          <w:pgMar w:top="1440" w:right="1440" w:bottom="1440" w:left="1440" w:header="708" w:footer="708" w:gutter="0"/>
          <w:pgNumType w:fmt="lowerRoman"/>
          <w:cols w:space="720"/>
        </w:sectPr>
      </w:pPr>
    </w:p>
    <w:p w:rsidR="00B01217" w:rsidRDefault="00B01217" w:rsidP="00B01217">
      <w:bookmarkStart w:id="7" w:name="_Toc106205338"/>
    </w:p>
    <w:p w:rsidR="00B01217" w:rsidRPr="00090DFD" w:rsidRDefault="00B01217" w:rsidP="00B01217">
      <w:pPr>
        <w:tabs>
          <w:tab w:val="left" w:pos="2630"/>
        </w:tabs>
        <w:jc w:val="center"/>
        <w:rPr>
          <w:rFonts w:ascii="Times New Roman" w:hAnsi="Times New Roman" w:cs="Times New Roman"/>
          <w:b/>
          <w:sz w:val="24"/>
          <w:szCs w:val="24"/>
        </w:rPr>
      </w:pPr>
      <w:r w:rsidRPr="00090DFD">
        <w:rPr>
          <w:rFonts w:ascii="Times New Roman" w:hAnsi="Times New Roman" w:cs="Times New Roman"/>
          <w:b/>
          <w:sz w:val="24"/>
          <w:szCs w:val="24"/>
        </w:rPr>
        <w:t>INTRODUCTION</w:t>
      </w:r>
      <w:bookmarkEnd w:id="7"/>
    </w:p>
    <w:p w:rsidR="00B01217" w:rsidRPr="00B04178" w:rsidRDefault="00B01217" w:rsidP="00B01217">
      <w:pPr>
        <w:pStyle w:val="Heading2"/>
        <w:rPr>
          <w:rStyle w:val="Heading2Char"/>
          <w:rFonts w:ascii="Times New Roman" w:hAnsi="Times New Roman" w:cs="Times New Roman"/>
          <w:b/>
          <w:sz w:val="24"/>
          <w:szCs w:val="24"/>
        </w:rPr>
      </w:pPr>
      <w:bookmarkStart w:id="8" w:name="_Toc112709810"/>
      <w:r w:rsidRPr="00B04178">
        <w:rPr>
          <w:rFonts w:ascii="Times New Roman" w:hAnsi="Times New Roman" w:cs="Times New Roman"/>
          <w:sz w:val="24"/>
          <w:szCs w:val="24"/>
        </w:rPr>
        <w:t xml:space="preserve">1.1 </w:t>
      </w:r>
      <w:r w:rsidRPr="00B04178">
        <w:rPr>
          <w:rStyle w:val="Heading2Char"/>
          <w:rFonts w:ascii="Times New Roman" w:hAnsi="Times New Roman" w:cs="Times New Roman"/>
          <w:b/>
          <w:sz w:val="24"/>
          <w:szCs w:val="24"/>
        </w:rPr>
        <w:t>Background</w:t>
      </w:r>
      <w:bookmarkEnd w:id="8"/>
      <w:r w:rsidRPr="00B04178">
        <w:rPr>
          <w:rStyle w:val="Heading2Char"/>
          <w:rFonts w:ascii="Times New Roman" w:hAnsi="Times New Roman" w:cs="Times New Roman"/>
          <w:b/>
          <w:sz w:val="24"/>
          <w:szCs w:val="24"/>
        </w:rPr>
        <w:t xml:space="preserve"> </w:t>
      </w:r>
    </w:p>
    <w:p w:rsidR="00B01217" w:rsidRPr="00117097" w:rsidRDefault="00B01217" w:rsidP="00B01217">
      <w:pPr>
        <w:spacing w:line="360" w:lineRule="auto"/>
        <w:jc w:val="both"/>
        <w:rPr>
          <w:rFonts w:ascii="Times New Roman" w:hAnsi="Times New Roman" w:cs="Times New Roman"/>
          <w:sz w:val="24"/>
          <w:szCs w:val="24"/>
        </w:rPr>
      </w:pPr>
      <w:r w:rsidRPr="00117097">
        <w:rPr>
          <w:rFonts w:ascii="Times New Roman" w:hAnsi="Times New Roman" w:cs="Times New Roman"/>
          <w:sz w:val="24"/>
          <w:szCs w:val="24"/>
        </w:rPr>
        <w:t>The World Health Organization</w:t>
      </w:r>
      <w:r>
        <w:rPr>
          <w:rFonts w:ascii="Times New Roman" w:hAnsi="Times New Roman" w:cs="Times New Roman"/>
          <w:sz w:val="24"/>
          <w:szCs w:val="24"/>
        </w:rPr>
        <w:t xml:space="preserve"> (WHO)</w:t>
      </w:r>
      <w:r w:rsidRPr="00117097">
        <w:rPr>
          <w:rFonts w:ascii="Times New Roman" w:hAnsi="Times New Roman" w:cs="Times New Roman"/>
          <w:sz w:val="24"/>
          <w:szCs w:val="24"/>
        </w:rPr>
        <w:t xml:space="preserve"> emphasizes that ongoing surveillance is necessary to achieve global objectives of ending the COVID-19 crisis and its impact. Surveillance plays a crucial role in understanding the </w:t>
      </w:r>
      <w:r>
        <w:rPr>
          <w:rFonts w:ascii="Times New Roman" w:hAnsi="Times New Roman" w:cs="Times New Roman"/>
          <w:sz w:val="24"/>
          <w:szCs w:val="24"/>
        </w:rPr>
        <w:t>pandemic</w:t>
      </w:r>
      <w:r w:rsidRPr="00117097">
        <w:rPr>
          <w:rFonts w:ascii="Times New Roman" w:hAnsi="Times New Roman" w:cs="Times New Roman"/>
          <w:sz w:val="24"/>
          <w:szCs w:val="24"/>
        </w:rPr>
        <w:t xml:space="preserve">'s progression, identifying risk factors for severe illness, and assessing the effects of vaccination and </w:t>
      </w:r>
      <w:r>
        <w:rPr>
          <w:rFonts w:ascii="Times New Roman" w:hAnsi="Times New Roman" w:cs="Times New Roman"/>
          <w:sz w:val="24"/>
          <w:szCs w:val="24"/>
        </w:rPr>
        <w:t xml:space="preserve">other </w:t>
      </w:r>
      <w:r w:rsidRPr="00117097">
        <w:rPr>
          <w:rFonts w:ascii="Times New Roman" w:hAnsi="Times New Roman" w:cs="Times New Roman"/>
          <w:sz w:val="24"/>
          <w:szCs w:val="24"/>
        </w:rPr>
        <w:t>public health measures.</w:t>
      </w:r>
    </w:p>
    <w:p w:rsidR="00B01217" w:rsidRPr="00117097" w:rsidRDefault="00B01217" w:rsidP="00B01217">
      <w:pPr>
        <w:spacing w:line="360" w:lineRule="auto"/>
        <w:jc w:val="both"/>
        <w:rPr>
          <w:rFonts w:ascii="Times New Roman" w:hAnsi="Times New Roman" w:cs="Times New Roman"/>
          <w:sz w:val="24"/>
          <w:szCs w:val="24"/>
        </w:rPr>
      </w:pPr>
      <w:r w:rsidRPr="00117097">
        <w:rPr>
          <w:rFonts w:ascii="Times New Roman" w:hAnsi="Times New Roman" w:cs="Times New Roman"/>
          <w:sz w:val="24"/>
          <w:szCs w:val="24"/>
        </w:rPr>
        <w:t>The Kenya Ministry of Health, with the support of KEMRI Wellcome Trust Research Programme (KWTRP), African Population and Health Research Center (APHRC), and KEMRI Center for Global Health Research/Centers for Disease Control Kenya (KEMRI-CGHR/CDC Kenya), has conducted SARS-CoV-2 serosurveillance in different populations of interest during the pandemic. Health and Demographic Surveillance Sites (HDSS) have provided insights into the extent of cumulative infections in Kenya's general population.</w:t>
      </w:r>
    </w:p>
    <w:p w:rsidR="00B01217" w:rsidRPr="00117097" w:rsidRDefault="00B01217" w:rsidP="00B01217">
      <w:pPr>
        <w:spacing w:line="360" w:lineRule="auto"/>
        <w:jc w:val="both"/>
        <w:rPr>
          <w:rFonts w:ascii="Times New Roman" w:hAnsi="Times New Roman" w:cs="Times New Roman"/>
          <w:sz w:val="24"/>
          <w:szCs w:val="24"/>
        </w:rPr>
      </w:pPr>
      <w:r w:rsidRPr="00117097">
        <w:rPr>
          <w:rFonts w:ascii="Times New Roman" w:hAnsi="Times New Roman" w:cs="Times New Roman"/>
          <w:sz w:val="24"/>
          <w:szCs w:val="24"/>
        </w:rPr>
        <w:t>Previous surveys showed that SARS-CoV-2 infections were widespread in the general population, but with some regional variations. This report presents findings from the thi</w:t>
      </w:r>
      <w:r>
        <w:rPr>
          <w:rFonts w:ascii="Times New Roman" w:hAnsi="Times New Roman" w:cs="Times New Roman"/>
          <w:sz w:val="24"/>
          <w:szCs w:val="24"/>
        </w:rPr>
        <w:t>rd sero-survey conducted between September and December 2022</w:t>
      </w:r>
      <w:r w:rsidRPr="00117097">
        <w:rPr>
          <w:rFonts w:ascii="Times New Roman" w:hAnsi="Times New Roman" w:cs="Times New Roman"/>
          <w:sz w:val="24"/>
          <w:szCs w:val="24"/>
        </w:rPr>
        <w:t xml:space="preserve"> among residents of two informal settlements in Nairobi - Korogocho and Viwandani - using the Nairobi Urban Health and Demographic Surveillance System (NUHDSS) </w:t>
      </w:r>
      <w:r>
        <w:rPr>
          <w:rFonts w:ascii="Times New Roman" w:hAnsi="Times New Roman" w:cs="Times New Roman"/>
          <w:sz w:val="24"/>
          <w:szCs w:val="24"/>
        </w:rPr>
        <w:t>run</w:t>
      </w:r>
      <w:r w:rsidRPr="00117097">
        <w:rPr>
          <w:rFonts w:ascii="Times New Roman" w:hAnsi="Times New Roman" w:cs="Times New Roman"/>
          <w:sz w:val="24"/>
          <w:szCs w:val="24"/>
        </w:rPr>
        <w:t xml:space="preserve"> by APHRC</w:t>
      </w:r>
      <w:r>
        <w:rPr>
          <w:rFonts w:ascii="Times New Roman" w:hAnsi="Times New Roman" w:cs="Times New Roman"/>
          <w:sz w:val="24"/>
          <w:szCs w:val="24"/>
        </w:rPr>
        <w:t xml:space="preserve"> as the sampling frame from which a random sample of participants is drawn</w:t>
      </w:r>
      <w:r w:rsidRPr="00117097">
        <w:rPr>
          <w:rFonts w:ascii="Times New Roman" w:hAnsi="Times New Roman" w:cs="Times New Roman"/>
          <w:sz w:val="24"/>
          <w:szCs w:val="24"/>
        </w:rPr>
        <w:t>. Similar surveys were also carried out in Kisumu, Kilifi, Siaya, and Kibera in Nairobi.</w:t>
      </w:r>
    </w:p>
    <w:p w:rsidR="00B01217" w:rsidRPr="006B0E5C" w:rsidRDefault="00B01217" w:rsidP="00B01217">
      <w:pPr>
        <w:pStyle w:val="Heading2"/>
        <w:rPr>
          <w:rStyle w:val="Heading2Char"/>
          <w:rFonts w:ascii="Times New Roman" w:hAnsi="Times New Roman" w:cs="Times New Roman"/>
          <w:b/>
          <w:sz w:val="24"/>
          <w:szCs w:val="24"/>
        </w:rPr>
      </w:pPr>
      <w:bookmarkStart w:id="9" w:name="_Toc112709811"/>
      <w:r w:rsidRPr="006B0E5C">
        <w:rPr>
          <w:rFonts w:ascii="Times New Roman" w:hAnsi="Times New Roman" w:cs="Times New Roman"/>
          <w:sz w:val="24"/>
          <w:szCs w:val="24"/>
        </w:rPr>
        <w:t>1.2</w:t>
      </w:r>
      <w:r w:rsidRPr="006B0E5C">
        <w:rPr>
          <w:rFonts w:ascii="Times New Roman" w:hAnsi="Times New Roman" w:cs="Times New Roman"/>
          <w:b w:val="0"/>
          <w:sz w:val="24"/>
          <w:szCs w:val="24"/>
        </w:rPr>
        <w:t xml:space="preserve"> </w:t>
      </w:r>
      <w:r w:rsidRPr="006B0E5C">
        <w:rPr>
          <w:rStyle w:val="Heading2Char"/>
          <w:rFonts w:ascii="Times New Roman" w:hAnsi="Times New Roman" w:cs="Times New Roman"/>
          <w:b/>
          <w:sz w:val="24"/>
          <w:szCs w:val="24"/>
        </w:rPr>
        <w:t xml:space="preserve">Rationale for the </w:t>
      </w:r>
      <w:r>
        <w:rPr>
          <w:rStyle w:val="Heading2Char"/>
          <w:rFonts w:ascii="Times New Roman" w:hAnsi="Times New Roman" w:cs="Times New Roman"/>
          <w:b/>
          <w:sz w:val="24"/>
          <w:szCs w:val="24"/>
        </w:rPr>
        <w:t>s</w:t>
      </w:r>
      <w:r w:rsidRPr="006B0E5C">
        <w:rPr>
          <w:rStyle w:val="Heading2Char"/>
          <w:rFonts w:ascii="Times New Roman" w:hAnsi="Times New Roman" w:cs="Times New Roman"/>
          <w:b/>
          <w:sz w:val="24"/>
          <w:szCs w:val="24"/>
        </w:rPr>
        <w:t>tudy</w:t>
      </w:r>
      <w:bookmarkEnd w:id="9"/>
      <w:r w:rsidRPr="006B0E5C">
        <w:rPr>
          <w:rStyle w:val="Heading2Char"/>
          <w:rFonts w:ascii="Times New Roman" w:hAnsi="Times New Roman" w:cs="Times New Roman"/>
          <w:b/>
          <w:sz w:val="24"/>
          <w:szCs w:val="24"/>
        </w:rPr>
        <w:t xml:space="preserve"> </w:t>
      </w:r>
    </w:p>
    <w:p w:rsidR="00B01217" w:rsidRPr="005F318E" w:rsidRDefault="00B01217" w:rsidP="00B01217">
      <w:pPr>
        <w:spacing w:line="360" w:lineRule="auto"/>
        <w:jc w:val="both"/>
        <w:rPr>
          <w:rFonts w:ascii="Times New Roman" w:hAnsi="Times New Roman" w:cs="Times New Roman"/>
          <w:sz w:val="24"/>
          <w:szCs w:val="24"/>
        </w:rPr>
      </w:pPr>
      <w:r w:rsidRPr="005F318E">
        <w:rPr>
          <w:rFonts w:ascii="Times New Roman" w:hAnsi="Times New Roman" w:cs="Times New Roman"/>
          <w:sz w:val="24"/>
          <w:szCs w:val="24"/>
        </w:rPr>
        <w:t xml:space="preserve">It is still crucial to obtain dependable, representative, and up-to-date estimates of the prevalence of SARS-CoV-2 antibodies in Kenya in order to track the course of the COVID-19 prevalence and inform public health measures, including vaccination programs. Conducting successive surveys of antibody prevalence in samples of the general population can help determine changes in the overall incidence of SARS-CoV-2 over time and </w:t>
      </w:r>
      <w:r>
        <w:rPr>
          <w:rFonts w:ascii="Times New Roman" w:hAnsi="Times New Roman" w:cs="Times New Roman"/>
          <w:sz w:val="24"/>
          <w:szCs w:val="24"/>
        </w:rPr>
        <w:t xml:space="preserve">provide insights into </w:t>
      </w:r>
      <w:r w:rsidRPr="005F318E">
        <w:rPr>
          <w:rFonts w:ascii="Times New Roman" w:hAnsi="Times New Roman" w:cs="Times New Roman"/>
          <w:sz w:val="24"/>
          <w:szCs w:val="24"/>
        </w:rPr>
        <w:t xml:space="preserve">changes in the level of immunity among the population. Furthermore, these surveys can identify areas where there are gaps in immunity, which can inform targeted interventions such as vaccination campaigns aimed at specific populations. Additionally, they can provide insight into the extent to which vaccination contributes to immunity and can help evaluate the duration of immunity conferred by either natural infection or vaccination within population cohorts. In order to </w:t>
      </w:r>
      <w:r w:rsidRPr="005F318E">
        <w:rPr>
          <w:rFonts w:ascii="Times New Roman" w:hAnsi="Times New Roman" w:cs="Times New Roman"/>
          <w:sz w:val="24"/>
          <w:szCs w:val="24"/>
        </w:rPr>
        <w:lastRenderedPageBreak/>
        <w:t xml:space="preserve">ensure global health security, robust surveillance systems will be necessary in the future to detect and track various diseases with epidemic potential at both the clinical and population levels. </w:t>
      </w:r>
    </w:p>
    <w:p w:rsidR="00B01217" w:rsidRPr="006B0E5C" w:rsidRDefault="00B01217" w:rsidP="00B01217">
      <w:pPr>
        <w:pStyle w:val="Heading2"/>
        <w:spacing w:line="360" w:lineRule="auto"/>
        <w:jc w:val="both"/>
        <w:rPr>
          <w:rFonts w:ascii="Times New Roman" w:hAnsi="Times New Roman" w:cs="Times New Roman"/>
          <w:sz w:val="24"/>
          <w:szCs w:val="24"/>
        </w:rPr>
      </w:pPr>
      <w:bookmarkStart w:id="10" w:name="_Toc112709812"/>
      <w:r w:rsidRPr="006B0E5C">
        <w:rPr>
          <w:rFonts w:ascii="Times New Roman" w:hAnsi="Times New Roman" w:cs="Times New Roman"/>
          <w:sz w:val="24"/>
          <w:szCs w:val="24"/>
        </w:rPr>
        <w:t>1.3 Objective of the Study</w:t>
      </w:r>
      <w:bookmarkEnd w:id="10"/>
      <w:r w:rsidRPr="006B0E5C">
        <w:rPr>
          <w:rFonts w:ascii="Times New Roman" w:hAnsi="Times New Roman" w:cs="Times New Roman"/>
          <w:sz w:val="24"/>
          <w:szCs w:val="24"/>
        </w:rPr>
        <w:t xml:space="preserve"> </w:t>
      </w:r>
    </w:p>
    <w:p w:rsidR="00B01217" w:rsidRPr="006B0E5C" w:rsidRDefault="00B01217" w:rsidP="00B01217">
      <w:pPr>
        <w:spacing w:after="0" w:line="360" w:lineRule="auto"/>
        <w:jc w:val="both"/>
        <w:rPr>
          <w:rFonts w:ascii="Times New Roman" w:eastAsia="Times New Roman" w:hAnsi="Times New Roman" w:cs="Times New Roman"/>
          <w:sz w:val="24"/>
          <w:szCs w:val="24"/>
        </w:rPr>
      </w:pPr>
      <w:r w:rsidRPr="006B0E5C">
        <w:rPr>
          <w:rFonts w:ascii="Times New Roman" w:eastAsia="Times New Roman" w:hAnsi="Times New Roman" w:cs="Times New Roman"/>
          <w:sz w:val="24"/>
          <w:szCs w:val="24"/>
        </w:rPr>
        <w:t>T</w:t>
      </w:r>
      <w:r>
        <w:rPr>
          <w:rFonts w:ascii="Times New Roman" w:eastAsia="Times New Roman" w:hAnsi="Times New Roman" w:cs="Times New Roman"/>
          <w:sz w:val="24"/>
          <w:szCs w:val="24"/>
        </w:rPr>
        <w:t>he overarching goal of the KEMIS project is</w:t>
      </w:r>
      <w:r w:rsidRPr="006B0E5C">
        <w:rPr>
          <w:rFonts w:ascii="Times New Roman" w:eastAsia="Times New Roman" w:hAnsi="Times New Roman" w:cs="Times New Roman"/>
          <w:sz w:val="24"/>
          <w:szCs w:val="24"/>
        </w:rPr>
        <w:t xml:space="preserve"> to develop a pathway towards establishing an integrated, nationally representative, population-based sero</w:t>
      </w:r>
      <w:r>
        <w:rPr>
          <w:rFonts w:ascii="Times New Roman" w:eastAsia="Times New Roman" w:hAnsi="Times New Roman" w:cs="Times New Roman"/>
          <w:sz w:val="24"/>
          <w:szCs w:val="24"/>
        </w:rPr>
        <w:t>-</w:t>
      </w:r>
      <w:r w:rsidRPr="006B0E5C">
        <w:rPr>
          <w:rFonts w:ascii="Times New Roman" w:eastAsia="Times New Roman" w:hAnsi="Times New Roman" w:cs="Times New Roman"/>
          <w:sz w:val="24"/>
          <w:szCs w:val="24"/>
        </w:rPr>
        <w:t>surveillance program in Kenya while continuing to conduct SARS-CoV-2 sero</w:t>
      </w:r>
      <w:r>
        <w:rPr>
          <w:rFonts w:ascii="Times New Roman" w:eastAsia="Times New Roman" w:hAnsi="Times New Roman" w:cs="Times New Roman"/>
          <w:sz w:val="24"/>
          <w:szCs w:val="24"/>
        </w:rPr>
        <w:t>-</w:t>
      </w:r>
      <w:r w:rsidRPr="006B0E5C">
        <w:rPr>
          <w:rFonts w:ascii="Times New Roman" w:eastAsia="Times New Roman" w:hAnsi="Times New Roman" w:cs="Times New Roman"/>
          <w:sz w:val="24"/>
          <w:szCs w:val="24"/>
        </w:rPr>
        <w:t>surveillance in the interim.</w:t>
      </w:r>
    </w:p>
    <w:p w:rsidR="00B01217" w:rsidRPr="006B0E5C" w:rsidRDefault="00B01217" w:rsidP="00B01217">
      <w:pPr>
        <w:spacing w:after="0" w:line="360" w:lineRule="auto"/>
        <w:jc w:val="both"/>
        <w:rPr>
          <w:rFonts w:ascii="Times New Roman" w:eastAsia="Times New Roman" w:hAnsi="Times New Roman" w:cs="Times New Roman"/>
          <w:sz w:val="24"/>
          <w:szCs w:val="24"/>
        </w:rPr>
      </w:pPr>
    </w:p>
    <w:p w:rsidR="00B01217" w:rsidRPr="006B0E5C" w:rsidRDefault="00B01217" w:rsidP="00B01217">
      <w:pPr>
        <w:spacing w:after="0" w:line="360" w:lineRule="auto"/>
        <w:jc w:val="both"/>
        <w:rPr>
          <w:rFonts w:ascii="Times New Roman" w:eastAsia="Times New Roman" w:hAnsi="Times New Roman" w:cs="Times New Roman"/>
          <w:sz w:val="24"/>
          <w:szCs w:val="24"/>
        </w:rPr>
      </w:pPr>
      <w:r w:rsidRPr="006B0E5C">
        <w:rPr>
          <w:rFonts w:ascii="Times New Roman" w:eastAsia="Times New Roman" w:hAnsi="Times New Roman" w:cs="Times New Roman"/>
          <w:sz w:val="24"/>
          <w:szCs w:val="24"/>
        </w:rPr>
        <w:t xml:space="preserve">Specific objectives include: </w:t>
      </w:r>
    </w:p>
    <w:p w:rsidR="00B01217" w:rsidRPr="006B0E5C" w:rsidRDefault="00B01217" w:rsidP="00B01217">
      <w:pPr>
        <w:spacing w:after="0" w:line="360" w:lineRule="auto"/>
        <w:jc w:val="both"/>
        <w:rPr>
          <w:rFonts w:ascii="Times New Roman" w:eastAsia="Times New Roman" w:hAnsi="Times New Roman" w:cs="Times New Roman"/>
          <w:sz w:val="24"/>
          <w:szCs w:val="24"/>
        </w:rPr>
      </w:pPr>
    </w:p>
    <w:p w:rsidR="00B01217" w:rsidRPr="00CF3806" w:rsidRDefault="00B01217" w:rsidP="00B01217">
      <w:pPr>
        <w:pStyle w:val="ListParagraph"/>
        <w:numPr>
          <w:ilvl w:val="0"/>
          <w:numId w:val="8"/>
        </w:numPr>
        <w:spacing w:after="0" w:line="360" w:lineRule="auto"/>
        <w:jc w:val="both"/>
        <w:rPr>
          <w:rFonts w:ascii="Times New Roman" w:eastAsia="Times New Roman" w:hAnsi="Times New Roman" w:cs="Times New Roman"/>
          <w:sz w:val="24"/>
          <w:szCs w:val="24"/>
        </w:rPr>
      </w:pPr>
      <w:r w:rsidRPr="006B0E5C">
        <w:rPr>
          <w:rFonts w:ascii="Times New Roman" w:eastAsia="Times New Roman" w:hAnsi="Times New Roman" w:cs="Times New Roman"/>
          <w:sz w:val="24"/>
          <w:szCs w:val="24"/>
        </w:rPr>
        <w:t xml:space="preserve">To track SARS-CoV-2 antibody seroprevalence in 2022 and 2023 </w:t>
      </w:r>
      <w:r>
        <w:rPr>
          <w:rFonts w:ascii="Times New Roman" w:eastAsia="Times New Roman" w:hAnsi="Times New Roman" w:cs="Times New Roman"/>
          <w:sz w:val="24"/>
          <w:szCs w:val="24"/>
        </w:rPr>
        <w:t xml:space="preserve">in the NUHDSS  by </w:t>
      </w:r>
      <w:r w:rsidRPr="00CF3806">
        <w:rPr>
          <w:rFonts w:ascii="Times New Roman" w:eastAsia="Times New Roman" w:hAnsi="Times New Roman" w:cs="Times New Roman"/>
          <w:sz w:val="24"/>
          <w:szCs w:val="24"/>
        </w:rPr>
        <w:t>determin</w:t>
      </w:r>
      <w:r>
        <w:rPr>
          <w:rFonts w:ascii="Times New Roman" w:eastAsia="Times New Roman" w:hAnsi="Times New Roman" w:cs="Times New Roman"/>
          <w:sz w:val="24"/>
          <w:szCs w:val="24"/>
        </w:rPr>
        <w:t>ing</w:t>
      </w:r>
      <w:r w:rsidRPr="00CF3806">
        <w:rPr>
          <w:rFonts w:ascii="Times New Roman" w:eastAsia="Times New Roman" w:hAnsi="Times New Roman" w:cs="Times New Roman"/>
          <w:sz w:val="24"/>
          <w:szCs w:val="24"/>
        </w:rPr>
        <w:t xml:space="preserve"> the proportion of seropositive individuals with neutralising antibodies</w:t>
      </w:r>
      <w:r>
        <w:rPr>
          <w:rFonts w:ascii="Times New Roman" w:eastAsia="Times New Roman" w:hAnsi="Times New Roman" w:cs="Times New Roman"/>
          <w:sz w:val="24"/>
          <w:szCs w:val="24"/>
        </w:rPr>
        <w:t>,</w:t>
      </w:r>
    </w:p>
    <w:p w:rsidR="00B01217" w:rsidRPr="006B0E5C" w:rsidRDefault="00B01217" w:rsidP="00B01217">
      <w:pPr>
        <w:pStyle w:val="ListParagraph"/>
        <w:numPr>
          <w:ilvl w:val="0"/>
          <w:numId w:val="8"/>
        </w:numPr>
        <w:spacing w:after="0" w:line="360" w:lineRule="auto"/>
        <w:jc w:val="both"/>
        <w:rPr>
          <w:rFonts w:ascii="Times New Roman" w:eastAsia="Times New Roman" w:hAnsi="Times New Roman" w:cs="Times New Roman"/>
          <w:sz w:val="24"/>
          <w:szCs w:val="24"/>
        </w:rPr>
      </w:pPr>
      <w:r w:rsidRPr="006B0E5C">
        <w:rPr>
          <w:rFonts w:ascii="Times New Roman" w:eastAsia="Times New Roman" w:hAnsi="Times New Roman" w:cs="Times New Roman"/>
          <w:sz w:val="24"/>
          <w:szCs w:val="24"/>
        </w:rPr>
        <w:t>To produce policy relevant output and recommendations for decision makers.</w:t>
      </w:r>
    </w:p>
    <w:p w:rsidR="00B01217" w:rsidRPr="006B0E5C" w:rsidRDefault="00B01217" w:rsidP="00B01217">
      <w:pPr>
        <w:spacing w:after="0" w:line="360" w:lineRule="auto"/>
        <w:jc w:val="both"/>
        <w:rPr>
          <w:rFonts w:ascii="Times New Roman" w:eastAsia="Times New Roman" w:hAnsi="Times New Roman" w:cs="Times New Roman"/>
          <w:sz w:val="24"/>
          <w:szCs w:val="24"/>
        </w:rPr>
      </w:pPr>
    </w:p>
    <w:p w:rsidR="00B01217" w:rsidRPr="006B0E5C" w:rsidRDefault="00B01217" w:rsidP="00B01217">
      <w:pPr>
        <w:spacing w:line="360" w:lineRule="auto"/>
        <w:jc w:val="both"/>
        <w:rPr>
          <w:rFonts w:ascii="Times New Roman" w:hAnsi="Times New Roman" w:cs="Times New Roman"/>
          <w:sz w:val="24"/>
          <w:szCs w:val="24"/>
        </w:rPr>
      </w:pPr>
    </w:p>
    <w:p w:rsidR="00B01217" w:rsidRPr="006B0E5C" w:rsidRDefault="00B01217" w:rsidP="00B01217">
      <w:pPr>
        <w:rPr>
          <w:rFonts w:ascii="Times New Roman" w:hAnsi="Times New Roman" w:cs="Times New Roman"/>
          <w:sz w:val="24"/>
          <w:szCs w:val="24"/>
        </w:rPr>
      </w:pPr>
    </w:p>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Pr>
        <w:pStyle w:val="Heading1"/>
        <w:jc w:val="center"/>
        <w:rPr>
          <w:rFonts w:ascii="Times New Roman" w:hAnsi="Times New Roman" w:cs="Times New Roman"/>
          <w:sz w:val="24"/>
          <w:szCs w:val="24"/>
        </w:rPr>
      </w:pPr>
      <w:bookmarkStart w:id="11" w:name="_Toc106205342"/>
      <w:bookmarkStart w:id="12" w:name="_Toc112709813"/>
      <w:r w:rsidRPr="006B0E5C">
        <w:rPr>
          <w:rFonts w:ascii="Times New Roman" w:hAnsi="Times New Roman" w:cs="Times New Roman"/>
          <w:sz w:val="24"/>
          <w:szCs w:val="24"/>
        </w:rPr>
        <w:lastRenderedPageBreak/>
        <w:t>METHODOLOGY</w:t>
      </w:r>
      <w:bookmarkEnd w:id="11"/>
      <w:bookmarkEnd w:id="12"/>
    </w:p>
    <w:p w:rsidR="00B01217" w:rsidRPr="006B0E5C" w:rsidRDefault="00B01217" w:rsidP="00B01217">
      <w:pPr>
        <w:pStyle w:val="Heading2"/>
        <w:rPr>
          <w:rFonts w:ascii="Times New Roman" w:hAnsi="Times New Roman" w:cs="Times New Roman"/>
          <w:sz w:val="24"/>
          <w:szCs w:val="24"/>
        </w:rPr>
      </w:pPr>
      <w:bookmarkStart w:id="13" w:name="_Toc112709814"/>
      <w:bookmarkStart w:id="14" w:name="_Toc106205343"/>
      <w:r w:rsidRPr="006B0E5C">
        <w:rPr>
          <w:rFonts w:ascii="Times New Roman" w:hAnsi="Times New Roman" w:cs="Times New Roman"/>
          <w:sz w:val="24"/>
          <w:szCs w:val="24"/>
        </w:rPr>
        <w:t xml:space="preserve">2.1 </w:t>
      </w:r>
      <w:r>
        <w:rPr>
          <w:rFonts w:ascii="Times New Roman" w:hAnsi="Times New Roman" w:cs="Times New Roman"/>
          <w:sz w:val="24"/>
          <w:szCs w:val="24"/>
        </w:rPr>
        <w:t>Setting</w:t>
      </w:r>
      <w:bookmarkEnd w:id="13"/>
      <w:r>
        <w:rPr>
          <w:rFonts w:ascii="Times New Roman" w:hAnsi="Times New Roman" w:cs="Times New Roman"/>
          <w:sz w:val="24"/>
          <w:szCs w:val="24"/>
        </w:rPr>
        <w:t xml:space="preserve"> </w:t>
      </w:r>
      <w:bookmarkEnd w:id="14"/>
    </w:p>
    <w:p w:rsidR="00B01217" w:rsidRDefault="00B01217" w:rsidP="00B01217">
      <w:pPr>
        <w:spacing w:line="360" w:lineRule="auto"/>
        <w:jc w:val="both"/>
        <w:rPr>
          <w:rFonts w:ascii="Times New Roman" w:eastAsia="Times New Roman" w:hAnsi="Times New Roman" w:cs="Times New Roman"/>
          <w:color w:val="000000"/>
          <w:sz w:val="24"/>
          <w:szCs w:val="24"/>
        </w:rPr>
      </w:pPr>
      <w:r w:rsidRPr="00E60E29">
        <w:rPr>
          <w:rFonts w:ascii="Times New Roman" w:hAnsi="Times New Roman" w:cs="Times New Roman"/>
          <w:sz w:val="24"/>
          <w:szCs w:val="24"/>
        </w:rPr>
        <w:t xml:space="preserve">The research took place in two informal settlements, Korogocho and Viwandani, situated on the outskirts of Nairobi City. The African Population and Health Research Center (APHRC) has been managing a health and demographic surveillance system since 2002, which covers a population of roughly </w:t>
      </w:r>
      <w:r>
        <w:rPr>
          <w:rFonts w:ascii="Times New Roman" w:hAnsi="Times New Roman" w:cs="Times New Roman"/>
          <w:sz w:val="24"/>
          <w:szCs w:val="24"/>
        </w:rPr>
        <w:t>80-</w:t>
      </w:r>
      <w:r w:rsidRPr="00E60E29">
        <w:rPr>
          <w:rFonts w:ascii="Times New Roman" w:hAnsi="Times New Roman" w:cs="Times New Roman"/>
          <w:sz w:val="24"/>
          <w:szCs w:val="24"/>
        </w:rPr>
        <w:t>100,000 individuals. The NUHDSS research team continually updates the status of this population. These</w:t>
      </w:r>
      <w:r>
        <w:rPr>
          <w:rFonts w:ascii="Times New Roman" w:hAnsi="Times New Roman" w:cs="Times New Roman"/>
          <w:sz w:val="24"/>
          <w:szCs w:val="24"/>
        </w:rPr>
        <w:t xml:space="preserve"> two</w:t>
      </w:r>
      <w:r w:rsidRPr="00E60E29">
        <w:rPr>
          <w:rFonts w:ascii="Times New Roman" w:hAnsi="Times New Roman" w:cs="Times New Roman"/>
          <w:sz w:val="24"/>
          <w:szCs w:val="24"/>
        </w:rPr>
        <w:t xml:space="preserve"> informal settlements are just a few of the numerous comparable settlements in Nairobi City, </w:t>
      </w:r>
      <w:r>
        <w:rPr>
          <w:rFonts w:ascii="Times New Roman" w:hAnsi="Times New Roman" w:cs="Times New Roman"/>
          <w:sz w:val="24"/>
          <w:szCs w:val="24"/>
        </w:rPr>
        <w:t>characterized</w:t>
      </w:r>
      <w:r w:rsidRPr="00E60E29">
        <w:rPr>
          <w:rFonts w:ascii="Times New Roman" w:hAnsi="Times New Roman" w:cs="Times New Roman"/>
          <w:sz w:val="24"/>
          <w:szCs w:val="24"/>
        </w:rPr>
        <w:t xml:space="preserve"> by poor housing, overpopulation, underemployment, poverty, and inadequate access to social amenities, including health services. In this study, a </w:t>
      </w:r>
      <w:r>
        <w:rPr>
          <w:rFonts w:ascii="Times New Roman" w:hAnsi="Times New Roman" w:cs="Times New Roman"/>
          <w:sz w:val="24"/>
          <w:szCs w:val="24"/>
        </w:rPr>
        <w:t>random sample</w:t>
      </w:r>
      <w:r w:rsidRPr="00E60E29">
        <w:rPr>
          <w:rFonts w:ascii="Times New Roman" w:hAnsi="Times New Roman" w:cs="Times New Roman"/>
          <w:sz w:val="24"/>
          <w:szCs w:val="24"/>
        </w:rPr>
        <w:t xml:space="preserve"> of 850 adults and children living in the two settlements was selected for </w:t>
      </w:r>
      <w:r>
        <w:rPr>
          <w:rFonts w:ascii="Times New Roman" w:hAnsi="Times New Roman" w:cs="Times New Roman"/>
          <w:sz w:val="24"/>
          <w:szCs w:val="24"/>
        </w:rPr>
        <w:t>participation in quantitative survey and blood sample collection</w:t>
      </w:r>
      <w:r w:rsidRPr="00E60E29">
        <w:rPr>
          <w:rFonts w:ascii="Times New Roman" w:hAnsi="Times New Roman" w:cs="Times New Roman"/>
          <w:sz w:val="24"/>
          <w:szCs w:val="24"/>
        </w:rPr>
        <w:t xml:space="preserve">. Prior to the commencement of data collection, the research team conducted community awareness initiatives to encourage participation. </w:t>
      </w:r>
    </w:p>
    <w:p w:rsidR="00B01217" w:rsidRPr="003B01C3" w:rsidRDefault="00B01217" w:rsidP="00B01217">
      <w:pPr>
        <w:numPr>
          <w:ilvl w:val="0"/>
          <w:numId w:val="9"/>
        </w:numPr>
        <w:pBdr>
          <w:top w:val="nil"/>
          <w:left w:val="nil"/>
          <w:bottom w:val="nil"/>
          <w:right w:val="nil"/>
          <w:between w:val="nil"/>
        </w:pBdr>
        <w:spacing w:after="0" w:line="360" w:lineRule="auto"/>
        <w:ind w:left="1800"/>
        <w:jc w:val="both"/>
        <w:rPr>
          <w:rFonts w:ascii="Times New Roman" w:eastAsia="Times New Roman" w:hAnsi="Times New Roman" w:cs="Times New Roman"/>
          <w:b/>
          <w:color w:val="000000"/>
          <w:sz w:val="24"/>
          <w:szCs w:val="24"/>
        </w:rPr>
      </w:pPr>
      <w:r w:rsidRPr="003B01C3">
        <w:rPr>
          <w:rFonts w:ascii="Times New Roman" w:eastAsia="Times New Roman" w:hAnsi="Times New Roman" w:cs="Times New Roman"/>
          <w:b/>
          <w:color w:val="000000"/>
          <w:sz w:val="24"/>
          <w:szCs w:val="24"/>
        </w:rPr>
        <w:t xml:space="preserve">Inception meetings with </w:t>
      </w:r>
      <w:r>
        <w:rPr>
          <w:rFonts w:ascii="Times New Roman" w:eastAsia="Times New Roman" w:hAnsi="Times New Roman" w:cs="Times New Roman"/>
          <w:b/>
          <w:color w:val="000000"/>
          <w:sz w:val="24"/>
          <w:szCs w:val="24"/>
        </w:rPr>
        <w:t>s</w:t>
      </w:r>
      <w:r w:rsidRPr="003B01C3">
        <w:rPr>
          <w:rFonts w:ascii="Times New Roman" w:eastAsia="Times New Roman" w:hAnsi="Times New Roman" w:cs="Times New Roman"/>
          <w:b/>
          <w:color w:val="000000"/>
          <w:sz w:val="24"/>
          <w:szCs w:val="24"/>
        </w:rPr>
        <w:t>ub</w:t>
      </w:r>
      <w:r>
        <w:rPr>
          <w:rFonts w:ascii="Times New Roman" w:eastAsia="Times New Roman" w:hAnsi="Times New Roman" w:cs="Times New Roman"/>
          <w:b/>
          <w:color w:val="000000"/>
          <w:sz w:val="24"/>
          <w:szCs w:val="24"/>
        </w:rPr>
        <w:t>-</w:t>
      </w:r>
      <w:r w:rsidRPr="003B01C3">
        <w:rPr>
          <w:rFonts w:ascii="Times New Roman" w:eastAsia="Times New Roman" w:hAnsi="Times New Roman" w:cs="Times New Roman"/>
          <w:b/>
          <w:color w:val="000000"/>
          <w:sz w:val="24"/>
          <w:szCs w:val="24"/>
        </w:rPr>
        <w:t>County Health Management Teams</w:t>
      </w:r>
    </w:p>
    <w:p w:rsidR="00B01217" w:rsidRPr="00E60E29" w:rsidRDefault="00B01217" w:rsidP="00B01217">
      <w:pPr>
        <w:spacing w:line="360" w:lineRule="auto"/>
        <w:jc w:val="both"/>
        <w:rPr>
          <w:rFonts w:ascii="Times New Roman" w:hAnsi="Times New Roman" w:cs="Times New Roman"/>
          <w:sz w:val="24"/>
          <w:szCs w:val="24"/>
        </w:rPr>
      </w:pPr>
      <w:r w:rsidRPr="00E60E29">
        <w:rPr>
          <w:rFonts w:ascii="Times New Roman" w:hAnsi="Times New Roman" w:cs="Times New Roman"/>
          <w:sz w:val="24"/>
          <w:szCs w:val="24"/>
        </w:rPr>
        <w:t>Korogocho and Viwandani are situated in the Ruaraka and Makadara Sub Counties of Nairobi, respectively, from an administrative standpoint. We held meetings with the health management teams in each sub-county to provide information on the study's purpose, scope, and anticipated results.</w:t>
      </w:r>
      <w:r>
        <w:rPr>
          <w:rFonts w:ascii="Times New Roman" w:hAnsi="Times New Roman" w:cs="Times New Roman"/>
          <w:sz w:val="24"/>
          <w:szCs w:val="24"/>
        </w:rPr>
        <w:t xml:space="preserve"> </w:t>
      </w:r>
      <w:r w:rsidRPr="00E60E29">
        <w:rPr>
          <w:rFonts w:ascii="Times New Roman" w:hAnsi="Times New Roman" w:cs="Times New Roman"/>
          <w:sz w:val="24"/>
          <w:szCs w:val="24"/>
        </w:rPr>
        <w:t>Dialogues to brainstorm and offer suggestions for collaborations and assistance followed this. Subsequently, we collaborated with the community strategy coordinators from both locations</w:t>
      </w:r>
      <w:r>
        <w:rPr>
          <w:rFonts w:ascii="Times New Roman" w:hAnsi="Times New Roman" w:cs="Times New Roman"/>
          <w:sz w:val="24"/>
          <w:szCs w:val="24"/>
        </w:rPr>
        <w:t xml:space="preserve"> to facilitate community entry</w:t>
      </w:r>
      <w:r w:rsidRPr="00E60E29">
        <w:rPr>
          <w:rFonts w:ascii="Times New Roman" w:hAnsi="Times New Roman" w:cs="Times New Roman"/>
          <w:sz w:val="24"/>
          <w:szCs w:val="24"/>
        </w:rPr>
        <w:t>.</w:t>
      </w:r>
    </w:p>
    <w:p w:rsidR="00B01217" w:rsidRPr="009D02B5" w:rsidRDefault="00B01217" w:rsidP="00B01217">
      <w:pPr>
        <w:numPr>
          <w:ilvl w:val="0"/>
          <w:numId w:val="9"/>
        </w:numPr>
        <w:pBdr>
          <w:top w:val="nil"/>
          <w:left w:val="nil"/>
          <w:bottom w:val="nil"/>
          <w:right w:val="nil"/>
          <w:between w:val="nil"/>
        </w:pBdr>
        <w:spacing w:after="0" w:line="360" w:lineRule="auto"/>
        <w:ind w:left="1800"/>
        <w:jc w:val="both"/>
        <w:rPr>
          <w:rFonts w:ascii="Times New Roman" w:eastAsia="Times New Roman" w:hAnsi="Times New Roman" w:cs="Times New Roman"/>
          <w:b/>
          <w:color w:val="000000"/>
          <w:sz w:val="24"/>
          <w:szCs w:val="24"/>
        </w:rPr>
      </w:pPr>
      <w:r w:rsidRPr="009D02B5">
        <w:rPr>
          <w:rFonts w:ascii="Times New Roman" w:eastAsia="Times New Roman" w:hAnsi="Times New Roman" w:cs="Times New Roman"/>
          <w:b/>
          <w:color w:val="000000"/>
          <w:sz w:val="24"/>
          <w:szCs w:val="24"/>
        </w:rPr>
        <w:t xml:space="preserve">Inception Meeting with </w:t>
      </w:r>
      <w:r>
        <w:rPr>
          <w:rFonts w:ascii="Times New Roman" w:eastAsia="Times New Roman" w:hAnsi="Times New Roman" w:cs="Times New Roman"/>
          <w:b/>
          <w:color w:val="000000"/>
          <w:sz w:val="24"/>
          <w:szCs w:val="24"/>
        </w:rPr>
        <w:t xml:space="preserve">community </w:t>
      </w:r>
      <w:r w:rsidRPr="009D02B5">
        <w:rPr>
          <w:rFonts w:ascii="Times New Roman" w:eastAsia="Times New Roman" w:hAnsi="Times New Roman" w:cs="Times New Roman"/>
          <w:b/>
          <w:color w:val="000000"/>
          <w:sz w:val="24"/>
          <w:szCs w:val="24"/>
        </w:rPr>
        <w:t xml:space="preserve">local administrative leaders </w:t>
      </w:r>
    </w:p>
    <w:p w:rsidR="00B01217" w:rsidRDefault="00B01217" w:rsidP="00B01217">
      <w:pPr>
        <w:pBdr>
          <w:top w:val="nil"/>
          <w:left w:val="nil"/>
          <w:bottom w:val="nil"/>
          <w:right w:val="nil"/>
          <w:between w:val="nil"/>
        </w:pBdr>
        <w:spacing w:after="0" w:line="360" w:lineRule="auto"/>
        <w:jc w:val="both"/>
        <w:rPr>
          <w:rFonts w:ascii="Segoe UI" w:hAnsi="Segoe UI" w:cs="Segoe UI"/>
          <w:color w:val="374151"/>
          <w:shd w:val="clear" w:color="auto" w:fill="F7F7F8"/>
        </w:rPr>
      </w:pPr>
      <w:r w:rsidRPr="00E60E29">
        <w:rPr>
          <w:rFonts w:ascii="Times New Roman" w:hAnsi="Times New Roman" w:cs="Times New Roman"/>
          <w:sz w:val="24"/>
          <w:szCs w:val="24"/>
        </w:rPr>
        <w:t xml:space="preserve">We </w:t>
      </w:r>
      <w:r>
        <w:rPr>
          <w:rFonts w:ascii="Times New Roman" w:hAnsi="Times New Roman" w:cs="Times New Roman"/>
          <w:sz w:val="24"/>
          <w:szCs w:val="24"/>
        </w:rPr>
        <w:t>held sensitization meetings</w:t>
      </w:r>
      <w:r w:rsidRPr="00E60E29">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E60E29">
        <w:rPr>
          <w:rFonts w:ascii="Times New Roman" w:hAnsi="Times New Roman" w:cs="Times New Roman"/>
          <w:sz w:val="24"/>
          <w:szCs w:val="24"/>
        </w:rPr>
        <w:t>local community leaders to acquaint them with the project and seek their input and guidance on the most effective ways to engage the wider community. Attendees at these meetings included representatives from the county such as assistant county commissioners, as well as senior chiefs, their assistants and members of the community advisory committee for both sites. The main objective of this exercise was to update community leaders about the project, secure their backing, dispel any misconceptions among community members, and alleviate the stigma around COVID-19 issues</w:t>
      </w:r>
      <w:r>
        <w:rPr>
          <w:rFonts w:ascii="Segoe UI" w:hAnsi="Segoe UI" w:cs="Segoe UI"/>
          <w:color w:val="374151"/>
          <w:shd w:val="clear" w:color="auto" w:fill="F7F7F8"/>
        </w:rPr>
        <w:t>.</w:t>
      </w:r>
    </w:p>
    <w:p w:rsidR="00B01217" w:rsidRDefault="00B01217" w:rsidP="00B01217">
      <w:pPr>
        <w:pBdr>
          <w:top w:val="nil"/>
          <w:left w:val="nil"/>
          <w:bottom w:val="nil"/>
          <w:right w:val="nil"/>
          <w:between w:val="nil"/>
        </w:pBdr>
        <w:spacing w:after="0" w:line="360" w:lineRule="auto"/>
        <w:jc w:val="both"/>
        <w:rPr>
          <w:rFonts w:ascii="Segoe UI" w:hAnsi="Segoe UI" w:cs="Segoe UI"/>
          <w:color w:val="374151"/>
          <w:shd w:val="clear" w:color="auto" w:fill="F7F7F8"/>
        </w:rPr>
      </w:pPr>
    </w:p>
    <w:p w:rsidR="00B01217" w:rsidRDefault="00B01217" w:rsidP="00B01217">
      <w:pPr>
        <w:pBdr>
          <w:top w:val="nil"/>
          <w:left w:val="nil"/>
          <w:bottom w:val="nil"/>
          <w:right w:val="nil"/>
          <w:between w:val="nil"/>
        </w:pBdr>
        <w:spacing w:after="0" w:line="360" w:lineRule="auto"/>
        <w:jc w:val="both"/>
        <w:rPr>
          <w:rFonts w:ascii="Segoe UI" w:hAnsi="Segoe UI" w:cs="Segoe UI"/>
          <w:color w:val="374151"/>
          <w:shd w:val="clear" w:color="auto" w:fill="F7F7F8"/>
        </w:rPr>
      </w:pPr>
    </w:p>
    <w:p w:rsidR="00B01217" w:rsidRDefault="00B01217" w:rsidP="00B01217">
      <w:pPr>
        <w:pBdr>
          <w:top w:val="nil"/>
          <w:left w:val="nil"/>
          <w:bottom w:val="nil"/>
          <w:right w:val="nil"/>
          <w:between w:val="nil"/>
        </w:pBdr>
        <w:spacing w:after="0" w:line="360" w:lineRule="auto"/>
        <w:jc w:val="both"/>
        <w:rPr>
          <w:rFonts w:ascii="Segoe UI" w:hAnsi="Segoe UI" w:cs="Segoe UI"/>
          <w:color w:val="374151"/>
          <w:shd w:val="clear" w:color="auto" w:fill="F7F7F8"/>
        </w:rPr>
      </w:pPr>
    </w:p>
    <w:p w:rsidR="00B01217" w:rsidRPr="009D02B5" w:rsidRDefault="00B01217" w:rsidP="00B0121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p>
    <w:p w:rsidR="00B01217" w:rsidRPr="009D02B5" w:rsidRDefault="00B01217" w:rsidP="00B01217">
      <w:pPr>
        <w:numPr>
          <w:ilvl w:val="0"/>
          <w:numId w:val="9"/>
        </w:numPr>
        <w:pBdr>
          <w:top w:val="nil"/>
          <w:left w:val="nil"/>
          <w:bottom w:val="nil"/>
          <w:right w:val="nil"/>
          <w:between w:val="nil"/>
        </w:pBdr>
        <w:spacing w:after="0" w:line="360" w:lineRule="auto"/>
        <w:ind w:left="180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Engagement with community through </w:t>
      </w:r>
      <w:r w:rsidRPr="009D02B5">
        <w:rPr>
          <w:rFonts w:ascii="Times New Roman" w:eastAsia="Times New Roman" w:hAnsi="Times New Roman" w:cs="Times New Roman"/>
          <w:b/>
          <w:color w:val="000000"/>
          <w:sz w:val="24"/>
          <w:szCs w:val="24"/>
        </w:rPr>
        <w:t xml:space="preserve">Radio Programs </w:t>
      </w:r>
    </w:p>
    <w:p w:rsidR="00B01217" w:rsidRPr="00C62930" w:rsidRDefault="00B01217" w:rsidP="00B01217">
      <w:pPr>
        <w:spacing w:line="360" w:lineRule="auto"/>
        <w:jc w:val="both"/>
        <w:rPr>
          <w:rFonts w:ascii="Times New Roman" w:hAnsi="Times New Roman" w:cs="Times New Roman"/>
          <w:sz w:val="24"/>
          <w:szCs w:val="24"/>
        </w:rPr>
      </w:pPr>
      <w:r w:rsidRPr="00C62930">
        <w:rPr>
          <w:rFonts w:ascii="Times New Roman" w:hAnsi="Times New Roman" w:cs="Times New Roman"/>
          <w:sz w:val="24"/>
          <w:szCs w:val="24"/>
        </w:rPr>
        <w:t>We facilitated radio discussions at two local community radio stations, Koch FM for Korogocho site and Reuben FM for Viwandani site, to address important matters related to the project. Listeners were encouraged to participate by calling or texting their inquiries for further explanation. To ensure that the message was clearly conveyed, we prepared a Swahili script containing key points before the sessions and conducted all the discussions in Swahili language. Additionally, advertising messages were created and regularly aired by the presenters at agreed upon dates and times throughout the duration of the project, serving as a reminder to the intended audience</w:t>
      </w:r>
    </w:p>
    <w:p w:rsidR="00B01217" w:rsidRDefault="00B01217" w:rsidP="00B01217">
      <w:pPr>
        <w:pStyle w:val="Heading2"/>
        <w:spacing w:line="360" w:lineRule="auto"/>
        <w:jc w:val="both"/>
        <w:rPr>
          <w:rFonts w:ascii="Times New Roman" w:hAnsi="Times New Roman" w:cs="Times New Roman"/>
          <w:sz w:val="24"/>
          <w:szCs w:val="24"/>
        </w:rPr>
      </w:pPr>
      <w:bookmarkStart w:id="15" w:name="_Toc106205344"/>
      <w:bookmarkStart w:id="16" w:name="_Toc112709815"/>
      <w:r w:rsidRPr="006B0E5C">
        <w:rPr>
          <w:rFonts w:ascii="Times New Roman" w:hAnsi="Times New Roman" w:cs="Times New Roman"/>
          <w:sz w:val="24"/>
          <w:szCs w:val="24"/>
        </w:rPr>
        <w:t>2.2 Population</w:t>
      </w:r>
      <w:bookmarkEnd w:id="15"/>
      <w:bookmarkEnd w:id="16"/>
      <w:r w:rsidRPr="006B0E5C">
        <w:rPr>
          <w:rFonts w:ascii="Times New Roman" w:hAnsi="Times New Roman" w:cs="Times New Roman"/>
          <w:sz w:val="24"/>
          <w:szCs w:val="24"/>
        </w:rPr>
        <w:t xml:space="preserve"> </w:t>
      </w:r>
    </w:p>
    <w:p w:rsidR="00B01217" w:rsidRPr="00101441" w:rsidRDefault="00B01217" w:rsidP="00B01217">
      <w:pPr>
        <w:spacing w:line="360" w:lineRule="auto"/>
        <w:jc w:val="both"/>
        <w:rPr>
          <w:rFonts w:ascii="Times New Roman" w:hAnsi="Times New Roman" w:cs="Times New Roman"/>
          <w:sz w:val="24"/>
          <w:szCs w:val="24"/>
        </w:rPr>
      </w:pPr>
      <w:r w:rsidRPr="00CB4164">
        <w:rPr>
          <w:rFonts w:ascii="Times New Roman" w:hAnsi="Times New Roman" w:cs="Times New Roman"/>
          <w:sz w:val="24"/>
          <w:szCs w:val="24"/>
        </w:rPr>
        <w:t xml:space="preserve">We utilized the population register of the Nairobi Urban Health and Demographic Surveillance System (NUHDSS) as a basis for sampling, wherein we randomly selected 850 residents. To ensure a representative sample, we stratified the population by age and selected 50 individuals for each 5-year age band within the range of 15-64 years, and 100 individuals for the 5-year age band of 0-14 years. </w:t>
      </w:r>
    </w:p>
    <w:p w:rsidR="00B01217" w:rsidRPr="006B0E5C" w:rsidRDefault="00B01217" w:rsidP="00B01217">
      <w:pPr>
        <w:pStyle w:val="Heading3"/>
        <w:ind w:left="720"/>
        <w:jc w:val="both"/>
        <w:rPr>
          <w:rFonts w:ascii="Times New Roman" w:hAnsi="Times New Roman" w:cs="Times New Roman"/>
          <w:sz w:val="24"/>
          <w:szCs w:val="24"/>
        </w:rPr>
      </w:pPr>
      <w:bookmarkStart w:id="17" w:name="_Toc106205345"/>
      <w:bookmarkStart w:id="18" w:name="_Toc112709816"/>
      <w:r w:rsidRPr="006B0E5C">
        <w:rPr>
          <w:rFonts w:ascii="Times New Roman" w:hAnsi="Times New Roman" w:cs="Times New Roman"/>
          <w:sz w:val="24"/>
          <w:szCs w:val="24"/>
        </w:rPr>
        <w:t>2.2.1 Inclusion criteria</w:t>
      </w:r>
      <w:bookmarkEnd w:id="17"/>
      <w:bookmarkEnd w:id="18"/>
      <w:r w:rsidRPr="006B0E5C">
        <w:rPr>
          <w:rFonts w:ascii="Times New Roman" w:hAnsi="Times New Roman" w:cs="Times New Roman"/>
          <w:sz w:val="24"/>
          <w:szCs w:val="24"/>
        </w:rPr>
        <w:t xml:space="preserve"> </w:t>
      </w:r>
    </w:p>
    <w:p w:rsidR="00B01217" w:rsidRPr="006B0E5C" w:rsidRDefault="00B01217" w:rsidP="00B01217">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Usual</w:t>
      </w:r>
      <w:r w:rsidRPr="006B0E5C">
        <w:rPr>
          <w:rFonts w:ascii="Times New Roman" w:hAnsi="Times New Roman" w:cs="Times New Roman"/>
          <w:sz w:val="24"/>
          <w:szCs w:val="24"/>
        </w:rPr>
        <w:t xml:space="preserve"> NUHDSS residents of all ages who were willing to provide consent were included in the study. </w:t>
      </w:r>
    </w:p>
    <w:p w:rsidR="00B01217" w:rsidRPr="006B0E5C" w:rsidRDefault="00B01217" w:rsidP="00B01217">
      <w:pPr>
        <w:pStyle w:val="Heading3"/>
        <w:ind w:left="720"/>
        <w:jc w:val="both"/>
        <w:rPr>
          <w:rFonts w:ascii="Times New Roman" w:hAnsi="Times New Roman" w:cs="Times New Roman"/>
          <w:sz w:val="24"/>
          <w:szCs w:val="24"/>
        </w:rPr>
      </w:pPr>
      <w:bookmarkStart w:id="19" w:name="_Toc106205346"/>
      <w:bookmarkStart w:id="20" w:name="_Toc112709817"/>
      <w:r w:rsidRPr="006B0E5C">
        <w:rPr>
          <w:rFonts w:ascii="Times New Roman" w:hAnsi="Times New Roman" w:cs="Times New Roman"/>
          <w:sz w:val="24"/>
          <w:szCs w:val="24"/>
        </w:rPr>
        <w:t>2.2.2 Exclusion criteria</w:t>
      </w:r>
      <w:bookmarkEnd w:id="19"/>
      <w:bookmarkEnd w:id="20"/>
      <w:r w:rsidRPr="006B0E5C">
        <w:rPr>
          <w:rFonts w:ascii="Times New Roman" w:hAnsi="Times New Roman" w:cs="Times New Roman"/>
          <w:sz w:val="24"/>
          <w:szCs w:val="24"/>
        </w:rPr>
        <w:t xml:space="preserve"> </w:t>
      </w:r>
    </w:p>
    <w:p w:rsidR="00B01217" w:rsidRPr="006B0E5C" w:rsidRDefault="00B01217" w:rsidP="00B01217">
      <w:pPr>
        <w:pStyle w:val="ListParagraph"/>
        <w:numPr>
          <w:ilvl w:val="0"/>
          <w:numId w:val="11"/>
        </w:numPr>
        <w:jc w:val="both"/>
        <w:rPr>
          <w:rFonts w:ascii="Times New Roman" w:hAnsi="Times New Roman" w:cs="Times New Roman"/>
          <w:sz w:val="24"/>
          <w:szCs w:val="24"/>
        </w:rPr>
      </w:pPr>
      <w:r w:rsidRPr="006B0E5C">
        <w:rPr>
          <w:rFonts w:ascii="Times New Roman" w:hAnsi="Times New Roman" w:cs="Times New Roman"/>
          <w:sz w:val="24"/>
          <w:szCs w:val="24"/>
        </w:rPr>
        <w:t>Residents with bleeding disorders and other medical contraindications for venipuncture were exempted.</w:t>
      </w:r>
    </w:p>
    <w:p w:rsidR="00B01217" w:rsidRPr="009D02B5" w:rsidRDefault="00B01217" w:rsidP="00B01217">
      <w:pPr>
        <w:pStyle w:val="Heading3"/>
        <w:numPr>
          <w:ilvl w:val="0"/>
          <w:numId w:val="11"/>
        </w:numPr>
        <w:jc w:val="both"/>
        <w:rPr>
          <w:rFonts w:ascii="Times New Roman" w:hAnsi="Times New Roman" w:cs="Times New Roman"/>
          <w:b w:val="0"/>
          <w:sz w:val="24"/>
          <w:szCs w:val="24"/>
        </w:rPr>
      </w:pPr>
      <w:bookmarkStart w:id="21" w:name="_Toc111641563"/>
      <w:bookmarkStart w:id="22" w:name="_Toc112709818"/>
      <w:r w:rsidRPr="006B0E5C">
        <w:rPr>
          <w:rFonts w:ascii="Times New Roman" w:hAnsi="Times New Roman" w:cs="Times New Roman"/>
          <w:b w:val="0"/>
          <w:sz w:val="24"/>
          <w:szCs w:val="24"/>
        </w:rPr>
        <w:t>For practical reasons, we excluded children less than six months of age.</w:t>
      </w:r>
      <w:bookmarkEnd w:id="21"/>
      <w:bookmarkEnd w:id="22"/>
      <w:r w:rsidRPr="006B0E5C">
        <w:rPr>
          <w:rFonts w:ascii="Times New Roman" w:hAnsi="Times New Roman" w:cs="Times New Roman"/>
          <w:b w:val="0"/>
          <w:sz w:val="24"/>
          <w:szCs w:val="24"/>
        </w:rPr>
        <w:t xml:space="preserve">  </w:t>
      </w:r>
    </w:p>
    <w:p w:rsidR="00B01217" w:rsidRPr="006B0E5C" w:rsidRDefault="00B01217" w:rsidP="00B01217">
      <w:pPr>
        <w:pStyle w:val="Heading2"/>
        <w:spacing w:line="360" w:lineRule="auto"/>
        <w:jc w:val="both"/>
        <w:rPr>
          <w:rFonts w:ascii="Times New Roman" w:hAnsi="Times New Roman" w:cs="Times New Roman"/>
          <w:sz w:val="24"/>
          <w:szCs w:val="24"/>
        </w:rPr>
      </w:pPr>
      <w:bookmarkStart w:id="23" w:name="_Toc106205347"/>
      <w:bookmarkStart w:id="24" w:name="_Toc112709819"/>
      <w:r w:rsidRPr="006B0E5C">
        <w:rPr>
          <w:rFonts w:ascii="Times New Roman" w:hAnsi="Times New Roman" w:cs="Times New Roman"/>
          <w:sz w:val="24"/>
          <w:szCs w:val="24"/>
        </w:rPr>
        <w:t>2.3 Design</w:t>
      </w:r>
      <w:bookmarkEnd w:id="23"/>
      <w:bookmarkEnd w:id="24"/>
    </w:p>
    <w:p w:rsidR="00B01217" w:rsidRDefault="00B01217" w:rsidP="00B01217">
      <w:pPr>
        <w:spacing w:line="360" w:lineRule="auto"/>
        <w:jc w:val="both"/>
        <w:rPr>
          <w:rFonts w:ascii="Times New Roman" w:hAnsi="Times New Roman" w:cs="Times New Roman"/>
          <w:sz w:val="24"/>
          <w:szCs w:val="24"/>
        </w:rPr>
      </w:pPr>
      <w:r w:rsidRPr="006B0E5C">
        <w:rPr>
          <w:rFonts w:ascii="Times New Roman" w:hAnsi="Times New Roman" w:cs="Times New Roman"/>
          <w:sz w:val="24"/>
          <w:szCs w:val="24"/>
        </w:rPr>
        <w:t xml:space="preserve">This was a cross sectional survey conducted on a random sample of residents of the Nairobi Urban Health and Demographic Surveillance </w:t>
      </w:r>
      <w:r>
        <w:rPr>
          <w:rFonts w:ascii="Times New Roman" w:hAnsi="Times New Roman" w:cs="Times New Roman"/>
          <w:sz w:val="24"/>
          <w:szCs w:val="24"/>
        </w:rPr>
        <w:t>area</w:t>
      </w:r>
      <w:r w:rsidRPr="006B0E5C">
        <w:rPr>
          <w:rFonts w:ascii="Times New Roman" w:hAnsi="Times New Roman" w:cs="Times New Roman"/>
          <w:sz w:val="24"/>
          <w:szCs w:val="24"/>
        </w:rPr>
        <w:t xml:space="preserve">. </w:t>
      </w:r>
      <w:r>
        <w:rPr>
          <w:rFonts w:ascii="Times New Roman" w:hAnsi="Times New Roman" w:cs="Times New Roman"/>
          <w:sz w:val="24"/>
          <w:szCs w:val="24"/>
        </w:rPr>
        <w:t xml:space="preserve">The NUHDSS database was used as the sampling frame for a selecting a random sample. Participants who had been sampled but found to have either out-migrated or died were replaced with participants with similar demographic characteristics. </w:t>
      </w:r>
    </w:p>
    <w:p w:rsidR="00B01217" w:rsidRPr="006B0E5C" w:rsidRDefault="00B01217" w:rsidP="00B01217">
      <w:pPr>
        <w:pStyle w:val="Heading2"/>
        <w:spacing w:line="360" w:lineRule="auto"/>
        <w:rPr>
          <w:rFonts w:ascii="Times New Roman" w:hAnsi="Times New Roman" w:cs="Times New Roman"/>
          <w:sz w:val="24"/>
          <w:szCs w:val="24"/>
        </w:rPr>
      </w:pPr>
      <w:bookmarkStart w:id="25" w:name="_Toc106205348"/>
      <w:bookmarkStart w:id="26" w:name="_Toc112709820"/>
      <w:r w:rsidRPr="006B0E5C">
        <w:rPr>
          <w:rFonts w:ascii="Times New Roman" w:hAnsi="Times New Roman" w:cs="Times New Roman"/>
          <w:sz w:val="24"/>
          <w:szCs w:val="24"/>
        </w:rPr>
        <w:lastRenderedPageBreak/>
        <w:t>2.4 Sample size estimation</w:t>
      </w:r>
      <w:bookmarkEnd w:id="25"/>
      <w:bookmarkEnd w:id="26"/>
      <w:r w:rsidRPr="006B0E5C">
        <w:rPr>
          <w:rFonts w:ascii="Times New Roman" w:hAnsi="Times New Roman" w:cs="Times New Roman"/>
          <w:sz w:val="24"/>
          <w:szCs w:val="24"/>
        </w:rPr>
        <w:t xml:space="preserve"> </w:t>
      </w:r>
    </w:p>
    <w:p w:rsidR="00B01217" w:rsidRPr="00DC5062" w:rsidRDefault="00B01217" w:rsidP="00B01217">
      <w:pPr>
        <w:spacing w:line="360" w:lineRule="auto"/>
        <w:jc w:val="both"/>
        <w:rPr>
          <w:rFonts w:ascii="Times New Roman" w:hAnsi="Times New Roman" w:cs="Times New Roman"/>
          <w:sz w:val="24"/>
          <w:szCs w:val="24"/>
        </w:rPr>
      </w:pPr>
      <w:r w:rsidRPr="00DC5062">
        <w:rPr>
          <w:rFonts w:ascii="Times New Roman" w:hAnsi="Times New Roman" w:cs="Times New Roman"/>
          <w:sz w:val="24"/>
          <w:szCs w:val="24"/>
        </w:rPr>
        <w:t>The target sample size of 300 participants aged below 15 years was considered adequate for estimating a seroprevalence of 1% with a margin of error of 2%. The target sample size of 550 participants in the 15-64-year age group was considered sufficient to estimate a seroprevalence of 3-5% with a margin of error below 5%.</w:t>
      </w:r>
    </w:p>
    <w:p w:rsidR="00B01217" w:rsidRPr="006B0E5C" w:rsidRDefault="00B01217" w:rsidP="00B01217">
      <w:pPr>
        <w:pStyle w:val="Heading2"/>
        <w:spacing w:line="360" w:lineRule="auto"/>
        <w:rPr>
          <w:rFonts w:ascii="Times New Roman" w:hAnsi="Times New Roman" w:cs="Times New Roman"/>
          <w:sz w:val="24"/>
          <w:szCs w:val="24"/>
        </w:rPr>
      </w:pPr>
      <w:bookmarkStart w:id="27" w:name="_Toc106205349"/>
      <w:bookmarkStart w:id="28" w:name="_Toc112709821"/>
      <w:r w:rsidRPr="006B0E5C">
        <w:rPr>
          <w:rFonts w:ascii="Times New Roman" w:hAnsi="Times New Roman" w:cs="Times New Roman"/>
          <w:sz w:val="24"/>
          <w:szCs w:val="24"/>
        </w:rPr>
        <w:t>2.5 Participant identification</w:t>
      </w:r>
      <w:bookmarkEnd w:id="27"/>
      <w:bookmarkEnd w:id="28"/>
      <w:r w:rsidRPr="006B0E5C">
        <w:rPr>
          <w:rFonts w:ascii="Times New Roman" w:hAnsi="Times New Roman" w:cs="Times New Roman"/>
          <w:sz w:val="24"/>
          <w:szCs w:val="24"/>
        </w:rPr>
        <w:t xml:space="preserve"> </w:t>
      </w:r>
    </w:p>
    <w:p w:rsidR="00B01217" w:rsidRPr="00DC5062" w:rsidRDefault="00B01217" w:rsidP="00B01217">
      <w:pPr>
        <w:spacing w:line="360" w:lineRule="auto"/>
        <w:jc w:val="both"/>
        <w:rPr>
          <w:rFonts w:ascii="Times New Roman" w:hAnsi="Times New Roman" w:cs="Times New Roman"/>
          <w:sz w:val="24"/>
          <w:szCs w:val="24"/>
        </w:rPr>
      </w:pPr>
      <w:r w:rsidRPr="00DC5062">
        <w:rPr>
          <w:rFonts w:ascii="Times New Roman" w:hAnsi="Times New Roman" w:cs="Times New Roman"/>
          <w:sz w:val="24"/>
          <w:szCs w:val="24"/>
        </w:rPr>
        <w:t>The database includes unique individual identifiers such as name, sex, age, ethnicity, and area of residence</w:t>
      </w:r>
      <w:r>
        <w:rPr>
          <w:rFonts w:ascii="Times New Roman" w:hAnsi="Times New Roman" w:cs="Times New Roman"/>
          <w:sz w:val="24"/>
          <w:szCs w:val="24"/>
        </w:rPr>
        <w:t xml:space="preserve"> of all individuals</w:t>
      </w:r>
      <w:r w:rsidRPr="00DC5062">
        <w:rPr>
          <w:rFonts w:ascii="Times New Roman" w:hAnsi="Times New Roman" w:cs="Times New Roman"/>
          <w:sz w:val="24"/>
          <w:szCs w:val="24"/>
        </w:rPr>
        <w:t xml:space="preserve">. </w:t>
      </w:r>
      <w:r>
        <w:rPr>
          <w:rFonts w:ascii="Times New Roman" w:hAnsi="Times New Roman" w:cs="Times New Roman"/>
          <w:sz w:val="24"/>
          <w:szCs w:val="24"/>
        </w:rPr>
        <w:t>A trained team of interviewers went to the field to identify the sampled individual using information from the NUHDSS. Upon positive identification, the process of consenting began by provision of information on the objectives of the study, potential benefits, risks, and the study procedures. Upon consenting, interviews and sample collection were conducted at a central place within the community where APHRC has an office and field laboratory. T</w:t>
      </w:r>
      <w:r w:rsidRPr="00DC5062">
        <w:rPr>
          <w:rFonts w:ascii="Times New Roman" w:hAnsi="Times New Roman" w:cs="Times New Roman"/>
          <w:sz w:val="24"/>
          <w:szCs w:val="24"/>
        </w:rPr>
        <w:t>he study adhered to COVID-19 prevention protocols such as maintaining physical distancing, wearing facemasks, and practicing hand hygiene.</w:t>
      </w:r>
    </w:p>
    <w:p w:rsidR="00B01217" w:rsidRPr="006B0E5C" w:rsidRDefault="00B01217" w:rsidP="00B01217">
      <w:pPr>
        <w:pStyle w:val="Heading2"/>
        <w:spacing w:line="360" w:lineRule="auto"/>
        <w:rPr>
          <w:rFonts w:ascii="Times New Roman" w:hAnsi="Times New Roman" w:cs="Times New Roman"/>
          <w:sz w:val="24"/>
          <w:szCs w:val="24"/>
        </w:rPr>
      </w:pPr>
      <w:bookmarkStart w:id="29" w:name="_Toc106205350"/>
      <w:bookmarkStart w:id="30" w:name="_Toc112709822"/>
      <w:r w:rsidRPr="006B0E5C">
        <w:rPr>
          <w:rFonts w:ascii="Times New Roman" w:hAnsi="Times New Roman" w:cs="Times New Roman"/>
          <w:sz w:val="24"/>
          <w:szCs w:val="24"/>
        </w:rPr>
        <w:t>2.6 Interview tools</w:t>
      </w:r>
      <w:bookmarkEnd w:id="29"/>
      <w:bookmarkEnd w:id="30"/>
      <w:r w:rsidRPr="006B0E5C">
        <w:rPr>
          <w:rFonts w:ascii="Times New Roman" w:hAnsi="Times New Roman" w:cs="Times New Roman"/>
          <w:sz w:val="24"/>
          <w:szCs w:val="24"/>
        </w:rPr>
        <w:t xml:space="preserve"> </w:t>
      </w:r>
    </w:p>
    <w:p w:rsidR="00B01217" w:rsidRPr="00DC5062" w:rsidRDefault="00B01217" w:rsidP="00B01217">
      <w:pPr>
        <w:spacing w:line="360" w:lineRule="auto"/>
        <w:jc w:val="both"/>
        <w:rPr>
          <w:rFonts w:ascii="Times New Roman" w:hAnsi="Times New Roman" w:cs="Times New Roman"/>
          <w:sz w:val="24"/>
          <w:szCs w:val="24"/>
        </w:rPr>
      </w:pPr>
      <w:r w:rsidRPr="00DC5062">
        <w:rPr>
          <w:rFonts w:ascii="Times New Roman" w:hAnsi="Times New Roman" w:cs="Times New Roman"/>
          <w:sz w:val="24"/>
          <w:szCs w:val="24"/>
        </w:rPr>
        <w:t xml:space="preserve">A </w:t>
      </w:r>
      <w:r>
        <w:rPr>
          <w:rFonts w:ascii="Times New Roman" w:hAnsi="Times New Roman" w:cs="Times New Roman"/>
          <w:sz w:val="24"/>
          <w:szCs w:val="24"/>
        </w:rPr>
        <w:t xml:space="preserve">quantitative </w:t>
      </w:r>
      <w:r w:rsidRPr="00DC5062">
        <w:rPr>
          <w:rFonts w:ascii="Times New Roman" w:hAnsi="Times New Roman" w:cs="Times New Roman"/>
          <w:sz w:val="24"/>
          <w:szCs w:val="24"/>
        </w:rPr>
        <w:t xml:space="preserve">questionnaire was </w:t>
      </w:r>
      <w:r>
        <w:rPr>
          <w:rFonts w:ascii="Times New Roman" w:hAnsi="Times New Roman" w:cs="Times New Roman"/>
          <w:sz w:val="24"/>
          <w:szCs w:val="24"/>
        </w:rPr>
        <w:t>developed</w:t>
      </w:r>
      <w:r w:rsidRPr="00DC5062">
        <w:rPr>
          <w:rFonts w:ascii="Times New Roman" w:hAnsi="Times New Roman" w:cs="Times New Roman"/>
          <w:sz w:val="24"/>
          <w:szCs w:val="24"/>
        </w:rPr>
        <w:t xml:space="preserve"> for this study with closed-ended questions to gather data on socio-demographic and clinical characteristics of the participants. The socio-demographic section included key variables such as residency status, level of education, religion, age, gender, usual place of residence, and socio-economic status. The clinical characteristics section contained questions on exposure and risk of COVID-19 infection, symptoms, access to COVID-19 prevention services, access to health services, and immunization status. The last part of the questionnaire included a laboratory report on sample collection status, sample storage, and blood grouping. The questionnaire was administered in Swahili.</w:t>
      </w:r>
    </w:p>
    <w:p w:rsidR="00B01217" w:rsidRPr="006B0E5C" w:rsidRDefault="00B01217" w:rsidP="00B01217">
      <w:pPr>
        <w:pStyle w:val="Heading2"/>
        <w:spacing w:line="360" w:lineRule="auto"/>
        <w:rPr>
          <w:rFonts w:ascii="Times New Roman" w:hAnsi="Times New Roman" w:cs="Times New Roman"/>
          <w:sz w:val="24"/>
          <w:szCs w:val="24"/>
        </w:rPr>
      </w:pPr>
      <w:bookmarkStart w:id="31" w:name="_Toc106205351"/>
      <w:bookmarkStart w:id="32" w:name="_Toc112709823"/>
      <w:r w:rsidRPr="006B0E5C">
        <w:rPr>
          <w:rFonts w:ascii="Times New Roman" w:hAnsi="Times New Roman" w:cs="Times New Roman"/>
          <w:sz w:val="24"/>
          <w:szCs w:val="24"/>
        </w:rPr>
        <w:t>2.7 Blood collection, management and analysis</w:t>
      </w:r>
      <w:bookmarkEnd w:id="31"/>
      <w:bookmarkEnd w:id="32"/>
    </w:p>
    <w:p w:rsidR="00B01217" w:rsidRPr="00DC5062" w:rsidRDefault="00B01217" w:rsidP="00B01217">
      <w:pPr>
        <w:spacing w:line="360" w:lineRule="auto"/>
        <w:jc w:val="both"/>
        <w:rPr>
          <w:rFonts w:ascii="Times New Roman" w:hAnsi="Times New Roman" w:cs="Times New Roman"/>
          <w:sz w:val="24"/>
          <w:szCs w:val="24"/>
        </w:rPr>
      </w:pPr>
      <w:r w:rsidRPr="00DC5062">
        <w:rPr>
          <w:rFonts w:ascii="Times New Roman" w:hAnsi="Times New Roman" w:cs="Times New Roman"/>
          <w:sz w:val="24"/>
          <w:szCs w:val="24"/>
        </w:rPr>
        <w:t>Participants aged 5 years and older provided a blood sample of 5ml, while those under 5 years provided 2ml. Each blood sample was labelled with a unique identifier that linked it to the individual participant's data collection form. The samples were centrifuged on-site, and the serum was separated within 24 hours of collection. The serum samples were stored at a temperature of -20°C and later transported to KWTRP laboratories on dry ice. An enzyme-</w:t>
      </w:r>
      <w:r w:rsidRPr="00DC5062">
        <w:rPr>
          <w:rFonts w:ascii="Times New Roman" w:hAnsi="Times New Roman" w:cs="Times New Roman"/>
          <w:sz w:val="24"/>
          <w:szCs w:val="24"/>
        </w:rPr>
        <w:lastRenderedPageBreak/>
        <w:t xml:space="preserve">linked immunosorbent assay (ELISA) was used to screen the samples for the presence of </w:t>
      </w:r>
      <w:r>
        <w:rPr>
          <w:rFonts w:ascii="Times New Roman" w:hAnsi="Times New Roman" w:cs="Times New Roman"/>
          <w:sz w:val="24"/>
          <w:szCs w:val="24"/>
        </w:rPr>
        <w:t>SARS-Cov-2</w:t>
      </w:r>
      <w:r w:rsidRPr="00DC5062">
        <w:rPr>
          <w:rFonts w:ascii="Times New Roman" w:hAnsi="Times New Roman" w:cs="Times New Roman"/>
          <w:sz w:val="24"/>
          <w:szCs w:val="24"/>
        </w:rPr>
        <w:t>-specific IgM and IgG antibodies. The prevalence of exposure to SARS-CoV-2 was determined as the proportion of samples tested that were positive for IgM or IgG to SARS-CoV-2.</w:t>
      </w:r>
    </w:p>
    <w:p w:rsidR="00B01217" w:rsidRPr="006B0E5C" w:rsidRDefault="00B01217" w:rsidP="00B01217">
      <w:pPr>
        <w:pStyle w:val="Heading2"/>
        <w:spacing w:line="360" w:lineRule="auto"/>
        <w:rPr>
          <w:rFonts w:ascii="Times New Roman" w:hAnsi="Times New Roman" w:cs="Times New Roman"/>
          <w:sz w:val="24"/>
          <w:szCs w:val="24"/>
        </w:rPr>
      </w:pPr>
      <w:bookmarkStart w:id="33" w:name="_Toc106205352"/>
      <w:bookmarkStart w:id="34" w:name="_Toc112709824"/>
      <w:r w:rsidRPr="006B0E5C">
        <w:rPr>
          <w:rFonts w:ascii="Times New Roman" w:hAnsi="Times New Roman" w:cs="Times New Roman"/>
          <w:sz w:val="24"/>
          <w:szCs w:val="24"/>
        </w:rPr>
        <w:t>2.8 Ethics considerations</w:t>
      </w:r>
      <w:bookmarkEnd w:id="33"/>
      <w:bookmarkEnd w:id="34"/>
    </w:p>
    <w:p w:rsidR="00B01217" w:rsidRPr="00883EF3" w:rsidRDefault="00B01217" w:rsidP="00B01217">
      <w:pPr>
        <w:spacing w:line="360" w:lineRule="auto"/>
        <w:jc w:val="both"/>
        <w:rPr>
          <w:rFonts w:ascii="Times New Roman" w:hAnsi="Times New Roman" w:cs="Times New Roman"/>
          <w:sz w:val="24"/>
          <w:szCs w:val="24"/>
        </w:rPr>
      </w:pPr>
      <w:r w:rsidRPr="00883EF3">
        <w:rPr>
          <w:rFonts w:ascii="Times New Roman" w:hAnsi="Times New Roman" w:cs="Times New Roman"/>
          <w:sz w:val="24"/>
          <w:szCs w:val="24"/>
        </w:rPr>
        <w:t xml:space="preserve">The entire research program, including its other components, had its study protocol submitted for ethics review by KWTRP. After obtaining clearance from the Health Directorate office of the Nairobi Metropolitan Services to conduct the study in Nairobi County, measures were taken to prevent the spread of SARS-CoV-2 infection among study staff and participants during the study procedures, including consenting, sample collection, and data collection. All eligible participants were informed of the objectives, benefits, and risks of participating in the study and were given the choice to participate voluntarily. Written informed consent was obtained from all eligible participants before any procedures were carried out, and assent was obtained from minor participants. The investigators underwent research ethics training. To protect confidentiality, individual data was anonymized. Potential risks and discomfort associated with blood collection were explained ahead of time, and a competent and qualified laboratory technologist conducted sample collection. Participants were given a signed copy of the consent document, and community-level dissemination events were </w:t>
      </w:r>
      <w:r>
        <w:rPr>
          <w:rFonts w:ascii="Times New Roman" w:hAnsi="Times New Roman" w:cs="Times New Roman"/>
          <w:sz w:val="24"/>
          <w:szCs w:val="24"/>
        </w:rPr>
        <w:t>organized</w:t>
      </w:r>
      <w:r w:rsidRPr="00883EF3">
        <w:rPr>
          <w:rFonts w:ascii="Times New Roman" w:hAnsi="Times New Roman" w:cs="Times New Roman"/>
          <w:sz w:val="24"/>
          <w:szCs w:val="24"/>
        </w:rPr>
        <w:t xml:space="preserve"> to share information about the COVID-19 situation in the community and individual results for those who requested them.</w:t>
      </w:r>
    </w:p>
    <w:p w:rsidR="00B01217" w:rsidRPr="0089611C" w:rsidRDefault="00B01217" w:rsidP="00B01217">
      <w:pPr>
        <w:pStyle w:val="Heading2"/>
        <w:spacing w:line="360" w:lineRule="auto"/>
        <w:rPr>
          <w:rFonts w:ascii="Times New Roman" w:hAnsi="Times New Roman" w:cs="Times New Roman"/>
          <w:sz w:val="24"/>
          <w:szCs w:val="24"/>
        </w:rPr>
      </w:pPr>
      <w:bookmarkStart w:id="35" w:name="_Toc106205353"/>
      <w:bookmarkStart w:id="36" w:name="_Toc112709825"/>
      <w:r w:rsidRPr="0089611C">
        <w:rPr>
          <w:rFonts w:ascii="Times New Roman" w:hAnsi="Times New Roman" w:cs="Times New Roman"/>
          <w:sz w:val="24"/>
          <w:szCs w:val="24"/>
        </w:rPr>
        <w:t>2.9 Data quality and data management</w:t>
      </w:r>
      <w:bookmarkEnd w:id="35"/>
      <w:bookmarkEnd w:id="36"/>
    </w:p>
    <w:p w:rsidR="00B01217" w:rsidRPr="0089611C" w:rsidRDefault="00B01217" w:rsidP="00B01217">
      <w:pPr>
        <w:spacing w:line="360" w:lineRule="auto"/>
        <w:jc w:val="both"/>
        <w:rPr>
          <w:rFonts w:ascii="Times New Roman" w:hAnsi="Times New Roman" w:cs="Times New Roman"/>
          <w:sz w:val="24"/>
          <w:szCs w:val="24"/>
        </w:rPr>
      </w:pPr>
      <w:r w:rsidRPr="0089611C">
        <w:rPr>
          <w:rFonts w:ascii="Times New Roman" w:hAnsi="Times New Roman" w:cs="Times New Roman"/>
          <w:sz w:val="24"/>
          <w:szCs w:val="24"/>
        </w:rPr>
        <w:t>To maintain the integrity of our data, we implemented various measures, which included:</w:t>
      </w:r>
    </w:p>
    <w:p w:rsidR="00B01217" w:rsidRPr="0089611C" w:rsidRDefault="00B01217" w:rsidP="00B01217">
      <w:pPr>
        <w:pStyle w:val="ListParagraph"/>
        <w:numPr>
          <w:ilvl w:val="0"/>
          <w:numId w:val="30"/>
        </w:numPr>
        <w:spacing w:line="360" w:lineRule="auto"/>
        <w:jc w:val="both"/>
        <w:rPr>
          <w:rFonts w:ascii="Times New Roman" w:hAnsi="Times New Roman" w:cs="Times New Roman"/>
          <w:sz w:val="24"/>
          <w:szCs w:val="24"/>
        </w:rPr>
      </w:pPr>
      <w:r w:rsidRPr="0089611C">
        <w:rPr>
          <w:rFonts w:ascii="Times New Roman" w:hAnsi="Times New Roman" w:cs="Times New Roman"/>
          <w:sz w:val="24"/>
          <w:szCs w:val="24"/>
        </w:rPr>
        <w:t>Providing training to field staff before data collection to ensure they understood the data collection procedures.</w:t>
      </w:r>
    </w:p>
    <w:p w:rsidR="00B01217" w:rsidRPr="0089611C" w:rsidRDefault="00B01217" w:rsidP="00B01217">
      <w:pPr>
        <w:pStyle w:val="ListParagraph"/>
        <w:numPr>
          <w:ilvl w:val="0"/>
          <w:numId w:val="30"/>
        </w:numPr>
        <w:spacing w:line="360" w:lineRule="auto"/>
        <w:jc w:val="both"/>
        <w:rPr>
          <w:rFonts w:ascii="Times New Roman" w:hAnsi="Times New Roman" w:cs="Times New Roman"/>
          <w:sz w:val="24"/>
          <w:szCs w:val="24"/>
        </w:rPr>
      </w:pPr>
      <w:r w:rsidRPr="0089611C">
        <w:rPr>
          <w:rFonts w:ascii="Times New Roman" w:hAnsi="Times New Roman" w:cs="Times New Roman"/>
          <w:sz w:val="24"/>
          <w:szCs w:val="24"/>
        </w:rPr>
        <w:t>Reviewing data tools during the training ahead of the data collection period to minimize discrepancies and enhance comprehension of the questions.</w:t>
      </w:r>
    </w:p>
    <w:p w:rsidR="00B01217" w:rsidRPr="0089611C" w:rsidRDefault="00B01217" w:rsidP="00B01217">
      <w:pPr>
        <w:pStyle w:val="ListParagraph"/>
        <w:numPr>
          <w:ilvl w:val="0"/>
          <w:numId w:val="30"/>
        </w:numPr>
        <w:spacing w:line="360" w:lineRule="auto"/>
        <w:jc w:val="both"/>
        <w:rPr>
          <w:rFonts w:ascii="Times New Roman" w:hAnsi="Times New Roman" w:cs="Times New Roman"/>
          <w:sz w:val="24"/>
          <w:szCs w:val="24"/>
        </w:rPr>
      </w:pPr>
      <w:r w:rsidRPr="0089611C">
        <w:rPr>
          <w:rFonts w:ascii="Times New Roman" w:hAnsi="Times New Roman" w:cs="Times New Roman"/>
          <w:sz w:val="24"/>
          <w:szCs w:val="24"/>
        </w:rPr>
        <w:t>Administering the questionnaire in Swahili, the language spoken by the residents of the project site.</w:t>
      </w:r>
    </w:p>
    <w:p w:rsidR="00B01217" w:rsidRPr="0089611C" w:rsidRDefault="00B01217" w:rsidP="00B01217">
      <w:pPr>
        <w:pStyle w:val="ListParagraph"/>
        <w:numPr>
          <w:ilvl w:val="0"/>
          <w:numId w:val="30"/>
        </w:numPr>
        <w:spacing w:line="360" w:lineRule="auto"/>
        <w:jc w:val="both"/>
        <w:rPr>
          <w:rFonts w:ascii="Times New Roman" w:hAnsi="Times New Roman" w:cs="Times New Roman"/>
          <w:sz w:val="24"/>
          <w:szCs w:val="24"/>
        </w:rPr>
      </w:pPr>
      <w:r w:rsidRPr="0089611C">
        <w:rPr>
          <w:rFonts w:ascii="Times New Roman" w:hAnsi="Times New Roman" w:cs="Times New Roman"/>
          <w:sz w:val="24"/>
          <w:szCs w:val="24"/>
        </w:rPr>
        <w:t>Holding weekly data review meetings with field staff to address any issues arising from the field.</w:t>
      </w:r>
    </w:p>
    <w:p w:rsidR="00B01217" w:rsidRPr="0089611C" w:rsidRDefault="00B01217" w:rsidP="00B01217">
      <w:pPr>
        <w:pStyle w:val="ListParagraph"/>
        <w:numPr>
          <w:ilvl w:val="0"/>
          <w:numId w:val="30"/>
        </w:numPr>
        <w:spacing w:line="360" w:lineRule="auto"/>
        <w:rPr>
          <w:rFonts w:ascii="Times New Roman" w:hAnsi="Times New Roman" w:cs="Times New Roman"/>
          <w:sz w:val="24"/>
          <w:szCs w:val="24"/>
        </w:rPr>
      </w:pPr>
      <w:r w:rsidRPr="0089611C">
        <w:rPr>
          <w:rFonts w:ascii="Times New Roman" w:hAnsi="Times New Roman" w:cs="Times New Roman"/>
          <w:sz w:val="24"/>
          <w:szCs w:val="24"/>
        </w:rPr>
        <w:lastRenderedPageBreak/>
        <w:t>Conducting sample checks on households that had been interviewed to verify the accuracy of the data collection and interview processes.</w:t>
      </w:r>
    </w:p>
    <w:p w:rsidR="00B01217" w:rsidRPr="006B0E5C" w:rsidRDefault="00B01217" w:rsidP="00B01217">
      <w:pPr>
        <w:pStyle w:val="Heading2"/>
        <w:spacing w:line="360" w:lineRule="auto"/>
        <w:rPr>
          <w:rFonts w:ascii="Times New Roman" w:hAnsi="Times New Roman" w:cs="Times New Roman"/>
          <w:sz w:val="24"/>
          <w:szCs w:val="24"/>
        </w:rPr>
      </w:pPr>
      <w:bookmarkStart w:id="37" w:name="_Toc112709826"/>
      <w:r w:rsidRPr="006B0E5C">
        <w:rPr>
          <w:rFonts w:ascii="Times New Roman" w:hAnsi="Times New Roman" w:cs="Times New Roman"/>
          <w:sz w:val="24"/>
          <w:szCs w:val="24"/>
        </w:rPr>
        <w:t>2.10 Data analysis</w:t>
      </w:r>
      <w:bookmarkEnd w:id="37"/>
    </w:p>
    <w:p w:rsidR="00B01217" w:rsidRPr="0089611C" w:rsidRDefault="00B01217" w:rsidP="00B01217">
      <w:pPr>
        <w:spacing w:line="360" w:lineRule="auto"/>
        <w:jc w:val="both"/>
        <w:rPr>
          <w:rFonts w:ascii="Times New Roman" w:hAnsi="Times New Roman" w:cs="Times New Roman"/>
          <w:sz w:val="24"/>
          <w:szCs w:val="24"/>
        </w:rPr>
      </w:pPr>
      <w:r w:rsidRPr="0089611C">
        <w:rPr>
          <w:rFonts w:ascii="Times New Roman" w:hAnsi="Times New Roman" w:cs="Times New Roman"/>
          <w:sz w:val="24"/>
          <w:szCs w:val="24"/>
        </w:rPr>
        <w:t>The data was analysed using STATA Version 17 software, and the findings were presented in the form of frequencies and percentages. Specifically, we summarized age, gender, religion, and education level.</w:t>
      </w:r>
    </w:p>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Pr="006B0E5C" w:rsidRDefault="00B01217" w:rsidP="00B01217">
      <w:pPr>
        <w:pStyle w:val="Heading1"/>
        <w:jc w:val="center"/>
        <w:rPr>
          <w:rFonts w:ascii="Times New Roman" w:hAnsi="Times New Roman" w:cs="Times New Roman"/>
          <w:sz w:val="24"/>
          <w:szCs w:val="24"/>
        </w:rPr>
      </w:pPr>
      <w:bookmarkStart w:id="38" w:name="_Toc112709827"/>
      <w:r w:rsidRPr="006B0E5C">
        <w:rPr>
          <w:rFonts w:ascii="Times New Roman" w:hAnsi="Times New Roman" w:cs="Times New Roman"/>
          <w:sz w:val="24"/>
          <w:szCs w:val="24"/>
        </w:rPr>
        <w:lastRenderedPageBreak/>
        <w:t>RESULTS</w:t>
      </w:r>
      <w:bookmarkEnd w:id="38"/>
    </w:p>
    <w:p w:rsidR="00B01217" w:rsidRPr="006B0E5C" w:rsidRDefault="00B01217" w:rsidP="00B01217">
      <w:pPr>
        <w:pStyle w:val="Heading2"/>
        <w:rPr>
          <w:rFonts w:ascii="Times New Roman" w:hAnsi="Times New Roman" w:cs="Times New Roman"/>
          <w:sz w:val="24"/>
          <w:szCs w:val="24"/>
        </w:rPr>
      </w:pPr>
      <w:bookmarkStart w:id="39" w:name="_Toc112709828"/>
      <w:r w:rsidRPr="006B0E5C">
        <w:rPr>
          <w:rFonts w:ascii="Times New Roman" w:hAnsi="Times New Roman" w:cs="Times New Roman"/>
          <w:sz w:val="24"/>
          <w:szCs w:val="24"/>
        </w:rPr>
        <w:t>3.1 Characteristics of study participants</w:t>
      </w:r>
      <w:bookmarkEnd w:id="39"/>
      <w:r w:rsidRPr="006B0E5C">
        <w:rPr>
          <w:rFonts w:ascii="Times New Roman" w:hAnsi="Times New Roman" w:cs="Times New Roman"/>
          <w:sz w:val="24"/>
          <w:szCs w:val="24"/>
        </w:rPr>
        <w:t xml:space="preserve"> </w:t>
      </w:r>
    </w:p>
    <w:p w:rsidR="00B01217" w:rsidRDefault="00B01217" w:rsidP="00B01217">
      <w:pPr>
        <w:pStyle w:val="Heading3"/>
        <w:rPr>
          <w:rFonts w:ascii="Times New Roman" w:hAnsi="Times New Roman" w:cs="Times New Roman"/>
          <w:sz w:val="24"/>
          <w:szCs w:val="24"/>
        </w:rPr>
      </w:pPr>
      <w:bookmarkStart w:id="40" w:name="_Toc112709829"/>
      <w:r w:rsidRPr="006B0E5C">
        <w:rPr>
          <w:rFonts w:ascii="Times New Roman" w:hAnsi="Times New Roman" w:cs="Times New Roman"/>
          <w:sz w:val="24"/>
          <w:szCs w:val="24"/>
        </w:rPr>
        <w:t>3.1.1 Response rate</w:t>
      </w:r>
      <w:bookmarkEnd w:id="40"/>
      <w:r w:rsidRPr="006B0E5C">
        <w:rPr>
          <w:rFonts w:ascii="Times New Roman" w:hAnsi="Times New Roman" w:cs="Times New Roman"/>
          <w:sz w:val="24"/>
          <w:szCs w:val="24"/>
        </w:rPr>
        <w:t xml:space="preserve"> </w:t>
      </w:r>
    </w:p>
    <w:p w:rsidR="00B01217" w:rsidRPr="00D6741C" w:rsidRDefault="00B01217" w:rsidP="00B01217">
      <w:pPr>
        <w:spacing w:line="360" w:lineRule="auto"/>
        <w:jc w:val="both"/>
        <w:rPr>
          <w:rFonts w:ascii="Times New Roman" w:hAnsi="Times New Roman" w:cs="Times New Roman"/>
          <w:sz w:val="24"/>
          <w:szCs w:val="24"/>
        </w:rPr>
      </w:pPr>
      <w:r w:rsidRPr="00D6741C">
        <w:rPr>
          <w:rFonts w:ascii="Times New Roman" w:hAnsi="Times New Roman" w:cs="Times New Roman"/>
          <w:sz w:val="24"/>
          <w:szCs w:val="24"/>
        </w:rPr>
        <w:t xml:space="preserve">In total, we reached out to 967 individuals across both sites for participation. Of those, 116 individuals (12%) declined to take part in the project and were not interviewed. The remaining 851 participants (88%) were successfully interviewed. One participant </w:t>
      </w:r>
      <w:r>
        <w:rPr>
          <w:rFonts w:ascii="Times New Roman" w:hAnsi="Times New Roman" w:cs="Times New Roman"/>
          <w:sz w:val="24"/>
          <w:szCs w:val="24"/>
        </w:rPr>
        <w:t xml:space="preserve">consented to be </w:t>
      </w:r>
      <w:r w:rsidRPr="00D6741C">
        <w:rPr>
          <w:rFonts w:ascii="Times New Roman" w:hAnsi="Times New Roman" w:cs="Times New Roman"/>
          <w:sz w:val="24"/>
          <w:szCs w:val="24"/>
        </w:rPr>
        <w:t xml:space="preserve"> intervie</w:t>
      </w:r>
      <w:r>
        <w:rPr>
          <w:rFonts w:ascii="Times New Roman" w:hAnsi="Times New Roman" w:cs="Times New Roman"/>
          <w:sz w:val="24"/>
          <w:szCs w:val="24"/>
        </w:rPr>
        <w:t>wed</w:t>
      </w:r>
      <w:r w:rsidRPr="00D6741C">
        <w:rPr>
          <w:rFonts w:ascii="Times New Roman" w:hAnsi="Times New Roman" w:cs="Times New Roman"/>
          <w:sz w:val="24"/>
          <w:szCs w:val="24"/>
        </w:rPr>
        <w:t xml:space="preserve"> did not provide </w:t>
      </w:r>
      <w:r>
        <w:rPr>
          <w:rFonts w:ascii="Times New Roman" w:hAnsi="Times New Roman" w:cs="Times New Roman"/>
          <w:sz w:val="24"/>
          <w:szCs w:val="24"/>
        </w:rPr>
        <w:t xml:space="preserve">consent for </w:t>
      </w:r>
      <w:r w:rsidRPr="00D6741C">
        <w:rPr>
          <w:rFonts w:ascii="Times New Roman" w:hAnsi="Times New Roman" w:cs="Times New Roman"/>
          <w:sz w:val="24"/>
          <w:szCs w:val="24"/>
        </w:rPr>
        <w:t>blood sample</w:t>
      </w:r>
      <w:r>
        <w:rPr>
          <w:rFonts w:ascii="Times New Roman" w:hAnsi="Times New Roman" w:cs="Times New Roman"/>
          <w:sz w:val="24"/>
          <w:szCs w:val="24"/>
        </w:rPr>
        <w:t xml:space="preserve"> collection</w:t>
      </w:r>
      <w:r w:rsidRPr="00D6741C">
        <w:rPr>
          <w:rFonts w:ascii="Times New Roman" w:hAnsi="Times New Roman" w:cs="Times New Roman"/>
          <w:sz w:val="24"/>
          <w:szCs w:val="24"/>
        </w:rPr>
        <w:t>, resulting in a total of 850 participants who were interviewed and provided blood samples. Figure 1 provides an overview of the weekly recruitment of participants throughout the 14-week data collection period.</w:t>
      </w:r>
    </w:p>
    <w:p w:rsidR="00B01217" w:rsidRPr="006B0E5C" w:rsidRDefault="00B01217" w:rsidP="00B01217">
      <w:pPr>
        <w:keepNext/>
        <w:rPr>
          <w:rFonts w:ascii="Times New Roman" w:hAnsi="Times New Roman" w:cs="Times New Roman"/>
          <w:sz w:val="24"/>
          <w:szCs w:val="24"/>
        </w:rPr>
      </w:pPr>
      <w:r>
        <w:rPr>
          <w:noProof/>
          <w:lang w:val="en-US" w:eastAsia="en-US"/>
        </w:rPr>
        <w:drawing>
          <wp:inline distT="0" distB="0" distL="0" distR="0" wp14:anchorId="09AE3574" wp14:editId="7B4564C6">
            <wp:extent cx="5816600" cy="3327400"/>
            <wp:effectExtent l="0" t="0" r="0" b="6350"/>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6600" cy="3327400"/>
                    </a:xfrm>
                    <a:prstGeom prst="rect">
                      <a:avLst/>
                    </a:prstGeom>
                    <a:noFill/>
                    <a:extLst/>
                  </pic:spPr>
                </pic:pic>
              </a:graphicData>
            </a:graphic>
          </wp:inline>
        </w:drawing>
      </w:r>
    </w:p>
    <w:p w:rsidR="00B01217" w:rsidRPr="007E01C2" w:rsidRDefault="00B01217" w:rsidP="00B01217">
      <w:pPr>
        <w:pStyle w:val="Caption"/>
        <w:rPr>
          <w:rFonts w:ascii="Times New Roman" w:hAnsi="Times New Roman" w:cs="Times New Roman"/>
          <w:i w:val="0"/>
          <w:color w:val="auto"/>
          <w:sz w:val="24"/>
          <w:szCs w:val="24"/>
        </w:rPr>
      </w:pPr>
      <w:bookmarkStart w:id="41" w:name="_Toc111642671"/>
      <w:r w:rsidRPr="007E01C2">
        <w:rPr>
          <w:rFonts w:ascii="Times New Roman" w:hAnsi="Times New Roman" w:cs="Times New Roman"/>
          <w:i w:val="0"/>
          <w:color w:val="auto"/>
          <w:sz w:val="24"/>
          <w:szCs w:val="24"/>
        </w:rPr>
        <w:t xml:space="preserve">Figure </w:t>
      </w:r>
      <w:r w:rsidRPr="007E01C2">
        <w:rPr>
          <w:rFonts w:ascii="Times New Roman" w:hAnsi="Times New Roman" w:cs="Times New Roman"/>
          <w:i w:val="0"/>
          <w:color w:val="auto"/>
          <w:sz w:val="24"/>
          <w:szCs w:val="24"/>
        </w:rPr>
        <w:fldChar w:fldCharType="begin"/>
      </w:r>
      <w:r w:rsidRPr="007E01C2">
        <w:rPr>
          <w:rFonts w:ascii="Times New Roman" w:hAnsi="Times New Roman" w:cs="Times New Roman"/>
          <w:i w:val="0"/>
          <w:color w:val="auto"/>
          <w:sz w:val="24"/>
          <w:szCs w:val="24"/>
        </w:rPr>
        <w:instrText xml:space="preserve"> SEQ Figure \* ARABIC </w:instrText>
      </w:r>
      <w:r w:rsidRPr="007E01C2">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1</w:t>
      </w:r>
      <w:r w:rsidRPr="007E01C2">
        <w:rPr>
          <w:rFonts w:ascii="Times New Roman" w:hAnsi="Times New Roman" w:cs="Times New Roman"/>
          <w:i w:val="0"/>
          <w:color w:val="auto"/>
          <w:sz w:val="24"/>
          <w:szCs w:val="24"/>
        </w:rPr>
        <w:fldChar w:fldCharType="end"/>
      </w:r>
      <w:r w:rsidRPr="007E01C2">
        <w:rPr>
          <w:rFonts w:ascii="Times New Roman" w:hAnsi="Times New Roman" w:cs="Times New Roman"/>
          <w:i w:val="0"/>
          <w:color w:val="auto"/>
          <w:sz w:val="24"/>
          <w:szCs w:val="24"/>
        </w:rPr>
        <w:t>.  Weekly recruitment of study participants over time</w:t>
      </w:r>
      <w:bookmarkEnd w:id="41"/>
    </w:p>
    <w:p w:rsidR="00B01217" w:rsidRPr="006B0E5C" w:rsidRDefault="00B01217" w:rsidP="00B01217">
      <w:pPr>
        <w:pStyle w:val="Heading3"/>
        <w:rPr>
          <w:rFonts w:ascii="Times New Roman" w:hAnsi="Times New Roman" w:cs="Times New Roman"/>
          <w:sz w:val="24"/>
          <w:szCs w:val="24"/>
        </w:rPr>
      </w:pPr>
      <w:bookmarkStart w:id="42" w:name="_Toc112709830"/>
      <w:r w:rsidRPr="006B0E5C">
        <w:rPr>
          <w:rFonts w:ascii="Times New Roman" w:hAnsi="Times New Roman" w:cs="Times New Roman"/>
          <w:sz w:val="24"/>
          <w:szCs w:val="24"/>
        </w:rPr>
        <w:t>3.1.2 Distribution of participants by age</w:t>
      </w:r>
      <w:bookmarkEnd w:id="42"/>
    </w:p>
    <w:p w:rsidR="00B01217" w:rsidRPr="00A67F3C" w:rsidRDefault="00B01217" w:rsidP="00B01217">
      <w:pPr>
        <w:spacing w:line="360" w:lineRule="auto"/>
        <w:jc w:val="both"/>
        <w:rPr>
          <w:rFonts w:ascii="Times New Roman" w:hAnsi="Times New Roman" w:cs="Times New Roman"/>
          <w:sz w:val="24"/>
          <w:szCs w:val="24"/>
        </w:rPr>
      </w:pPr>
      <w:r w:rsidRPr="00A67F3C">
        <w:rPr>
          <w:rFonts w:ascii="Times New Roman" w:hAnsi="Times New Roman" w:cs="Times New Roman"/>
          <w:sz w:val="24"/>
          <w:szCs w:val="24"/>
        </w:rPr>
        <w:t>Table 1 provides an overview of the age distribution of study</w:t>
      </w:r>
      <w:r>
        <w:rPr>
          <w:rFonts w:ascii="Times New Roman" w:hAnsi="Times New Roman" w:cs="Times New Roman"/>
          <w:sz w:val="24"/>
          <w:szCs w:val="24"/>
        </w:rPr>
        <w:t xml:space="preserve"> participants from two study sites</w:t>
      </w:r>
      <w:r w:rsidRPr="00A67F3C">
        <w:rPr>
          <w:rFonts w:ascii="Times New Roman" w:hAnsi="Times New Roman" w:cs="Times New Roman"/>
          <w:sz w:val="24"/>
          <w:szCs w:val="24"/>
        </w:rPr>
        <w:t>. The study enrolled 850 participants, with 337 coming from Korogocho and 513 from Viwandani, as indicated in Table 1</w:t>
      </w:r>
      <w:r>
        <w:rPr>
          <w:rFonts w:ascii="Times New Roman" w:hAnsi="Times New Roman" w:cs="Times New Roman"/>
          <w:sz w:val="24"/>
          <w:szCs w:val="24"/>
        </w:rPr>
        <w:t xml:space="preserve">. </w:t>
      </w:r>
    </w:p>
    <w:p w:rsidR="00B01217" w:rsidRDefault="00B01217" w:rsidP="00B01217">
      <w:pPr>
        <w:jc w:val="both"/>
      </w:pPr>
    </w:p>
    <w:p w:rsidR="00B01217" w:rsidRDefault="00B01217" w:rsidP="00B01217">
      <w:pPr>
        <w:jc w:val="both"/>
      </w:pPr>
    </w:p>
    <w:p w:rsidR="00B01217" w:rsidRPr="006B0E5C" w:rsidRDefault="00B01217" w:rsidP="00B01217">
      <w:pPr>
        <w:jc w:val="both"/>
        <w:rPr>
          <w:rFonts w:ascii="Times New Roman" w:hAnsi="Times New Roman" w:cs="Times New Roman"/>
          <w:sz w:val="24"/>
          <w:szCs w:val="24"/>
        </w:rPr>
      </w:pPr>
    </w:p>
    <w:p w:rsidR="00B01217" w:rsidRPr="006B0E5C" w:rsidRDefault="00B01217" w:rsidP="00B01217">
      <w:pPr>
        <w:pStyle w:val="Caption"/>
        <w:keepNext/>
        <w:rPr>
          <w:rFonts w:ascii="Times New Roman" w:hAnsi="Times New Roman" w:cs="Times New Roman"/>
          <w:i w:val="0"/>
          <w:color w:val="000000" w:themeColor="text1"/>
          <w:sz w:val="24"/>
          <w:szCs w:val="24"/>
        </w:rPr>
      </w:pPr>
      <w:bookmarkStart w:id="43" w:name="_Toc111641457"/>
      <w:r w:rsidRPr="006B0E5C">
        <w:rPr>
          <w:rFonts w:ascii="Times New Roman" w:hAnsi="Times New Roman" w:cs="Times New Roman"/>
          <w:i w:val="0"/>
          <w:color w:val="000000" w:themeColor="text1"/>
          <w:sz w:val="24"/>
          <w:szCs w:val="24"/>
        </w:rPr>
        <w:lastRenderedPageBreak/>
        <w:t xml:space="preserve">Table </w:t>
      </w:r>
      <w:r w:rsidRPr="006B0E5C">
        <w:rPr>
          <w:rFonts w:ascii="Times New Roman" w:hAnsi="Times New Roman" w:cs="Times New Roman"/>
          <w:i w:val="0"/>
          <w:color w:val="000000" w:themeColor="text1"/>
          <w:sz w:val="24"/>
          <w:szCs w:val="24"/>
        </w:rPr>
        <w:fldChar w:fldCharType="begin"/>
      </w:r>
      <w:r w:rsidRPr="006B0E5C">
        <w:rPr>
          <w:rFonts w:ascii="Times New Roman" w:hAnsi="Times New Roman" w:cs="Times New Roman"/>
          <w:i w:val="0"/>
          <w:color w:val="000000" w:themeColor="text1"/>
          <w:sz w:val="24"/>
          <w:szCs w:val="24"/>
        </w:rPr>
        <w:instrText xml:space="preserve"> SEQ Table \* ARABIC </w:instrText>
      </w:r>
      <w:r w:rsidRPr="006B0E5C">
        <w:rPr>
          <w:rFonts w:ascii="Times New Roman" w:hAnsi="Times New Roman" w:cs="Times New Roman"/>
          <w:i w:val="0"/>
          <w:color w:val="000000" w:themeColor="text1"/>
          <w:sz w:val="24"/>
          <w:szCs w:val="24"/>
        </w:rPr>
        <w:fldChar w:fldCharType="separate"/>
      </w:r>
      <w:r w:rsidRPr="006B0E5C">
        <w:rPr>
          <w:rFonts w:ascii="Times New Roman" w:hAnsi="Times New Roman" w:cs="Times New Roman"/>
          <w:i w:val="0"/>
          <w:noProof/>
          <w:color w:val="000000" w:themeColor="text1"/>
          <w:sz w:val="24"/>
          <w:szCs w:val="24"/>
        </w:rPr>
        <w:t>1</w:t>
      </w:r>
      <w:r w:rsidRPr="006B0E5C">
        <w:rPr>
          <w:rFonts w:ascii="Times New Roman" w:hAnsi="Times New Roman" w:cs="Times New Roman"/>
          <w:i w:val="0"/>
          <w:color w:val="000000" w:themeColor="text1"/>
          <w:sz w:val="24"/>
          <w:szCs w:val="24"/>
        </w:rPr>
        <w:fldChar w:fldCharType="end"/>
      </w:r>
      <w:r w:rsidRPr="006B0E5C">
        <w:rPr>
          <w:rFonts w:ascii="Times New Roman" w:hAnsi="Times New Roman" w:cs="Times New Roman"/>
          <w:i w:val="0"/>
          <w:color w:val="000000" w:themeColor="text1"/>
          <w:sz w:val="24"/>
          <w:szCs w:val="24"/>
        </w:rPr>
        <w:t>. Participant distribution by age</w:t>
      </w:r>
      <w:bookmarkEnd w:id="43"/>
    </w:p>
    <w:tbl>
      <w:tblPr>
        <w:tblW w:w="8550" w:type="dxa"/>
        <w:tblInd w:w="-10" w:type="dxa"/>
        <w:tblLook w:val="04A0" w:firstRow="1" w:lastRow="0" w:firstColumn="1" w:lastColumn="0" w:noHBand="0" w:noVBand="1"/>
      </w:tblPr>
      <w:tblGrid>
        <w:gridCol w:w="2437"/>
        <w:gridCol w:w="892"/>
        <w:gridCol w:w="1028"/>
        <w:gridCol w:w="781"/>
        <w:gridCol w:w="1139"/>
        <w:gridCol w:w="892"/>
        <w:gridCol w:w="1381"/>
      </w:tblGrid>
      <w:tr w:rsidR="00B01217" w:rsidRPr="00631AB1" w:rsidTr="00A429C8">
        <w:trPr>
          <w:trHeight w:val="290"/>
        </w:trPr>
        <w:tc>
          <w:tcPr>
            <w:tcW w:w="2437" w:type="dxa"/>
            <w:tcBorders>
              <w:top w:val="single" w:sz="8" w:space="0" w:color="auto"/>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2014D5">
              <w:rPr>
                <w:rFonts w:ascii="Times New Roman" w:eastAsia="Times New Roman" w:hAnsi="Times New Roman" w:cs="Times New Roman"/>
                <w:b/>
                <w:bCs/>
                <w:color w:val="000000"/>
                <w:sz w:val="24"/>
                <w:szCs w:val="24"/>
                <w:lang w:val="en-US"/>
              </w:rPr>
              <w:t>Individual's a</w:t>
            </w:r>
            <w:r w:rsidRPr="00631AB1">
              <w:rPr>
                <w:rFonts w:ascii="Times New Roman" w:eastAsia="Times New Roman" w:hAnsi="Times New Roman" w:cs="Times New Roman"/>
                <w:b/>
                <w:bCs/>
                <w:color w:val="000000"/>
                <w:sz w:val="24"/>
                <w:szCs w:val="24"/>
                <w:lang w:val="en-US"/>
              </w:rPr>
              <w:t>ge strata</w:t>
            </w:r>
          </w:p>
        </w:tc>
        <w:tc>
          <w:tcPr>
            <w:tcW w:w="1920" w:type="dxa"/>
            <w:gridSpan w:val="2"/>
            <w:tcBorders>
              <w:top w:val="single" w:sz="8" w:space="0" w:color="auto"/>
              <w:left w:val="nil"/>
              <w:bottom w:val="nil"/>
              <w:right w:val="single" w:sz="8" w:space="0" w:color="000000"/>
            </w:tcBorders>
            <w:shd w:val="clear" w:color="auto" w:fill="auto"/>
            <w:noWrap/>
            <w:vAlign w:val="bottom"/>
            <w:hideMark/>
          </w:tcPr>
          <w:p w:rsidR="00B01217" w:rsidRPr="00631AB1" w:rsidRDefault="00B01217" w:rsidP="00A429C8">
            <w:pPr>
              <w:spacing w:after="0" w:line="240" w:lineRule="auto"/>
              <w:jc w:val="center"/>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Korogocho</w:t>
            </w:r>
          </w:p>
        </w:tc>
        <w:tc>
          <w:tcPr>
            <w:tcW w:w="1920" w:type="dxa"/>
            <w:gridSpan w:val="2"/>
            <w:tcBorders>
              <w:top w:val="single" w:sz="8" w:space="0" w:color="auto"/>
              <w:left w:val="nil"/>
              <w:bottom w:val="nil"/>
              <w:right w:val="single" w:sz="8" w:space="0" w:color="000000"/>
            </w:tcBorders>
            <w:shd w:val="clear" w:color="auto" w:fill="auto"/>
            <w:noWrap/>
            <w:vAlign w:val="bottom"/>
            <w:hideMark/>
          </w:tcPr>
          <w:p w:rsidR="00B01217" w:rsidRPr="00631AB1" w:rsidRDefault="00B01217" w:rsidP="00A429C8">
            <w:pPr>
              <w:spacing w:after="0" w:line="240" w:lineRule="auto"/>
              <w:jc w:val="center"/>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Viwandani</w:t>
            </w:r>
          </w:p>
        </w:tc>
        <w:tc>
          <w:tcPr>
            <w:tcW w:w="2273" w:type="dxa"/>
            <w:gridSpan w:val="2"/>
            <w:tcBorders>
              <w:top w:val="single" w:sz="8" w:space="0" w:color="auto"/>
              <w:left w:val="nil"/>
              <w:bottom w:val="nil"/>
              <w:right w:val="single" w:sz="8" w:space="0" w:color="000000"/>
            </w:tcBorders>
            <w:shd w:val="clear" w:color="auto" w:fill="auto"/>
            <w:noWrap/>
            <w:vAlign w:val="bottom"/>
            <w:hideMark/>
          </w:tcPr>
          <w:p w:rsidR="00B01217" w:rsidRPr="00631AB1" w:rsidRDefault="00B01217" w:rsidP="00A429C8">
            <w:pPr>
              <w:spacing w:after="0" w:line="240" w:lineRule="auto"/>
              <w:jc w:val="center"/>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Total</w:t>
            </w:r>
          </w:p>
        </w:tc>
      </w:tr>
      <w:tr w:rsidR="00B01217" w:rsidRPr="00631AB1" w:rsidTr="00A429C8">
        <w:trPr>
          <w:trHeight w:val="300"/>
        </w:trPr>
        <w:tc>
          <w:tcPr>
            <w:tcW w:w="2437" w:type="dxa"/>
            <w:tcBorders>
              <w:top w:val="nil"/>
              <w:left w:val="single" w:sz="8" w:space="0" w:color="auto"/>
              <w:bottom w:val="single" w:sz="8" w:space="0" w:color="auto"/>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 </w:t>
            </w:r>
          </w:p>
        </w:tc>
        <w:tc>
          <w:tcPr>
            <w:tcW w:w="892" w:type="dxa"/>
            <w:tcBorders>
              <w:top w:val="nil"/>
              <w:left w:val="nil"/>
              <w:bottom w:val="single" w:sz="8" w:space="0" w:color="auto"/>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No.</w:t>
            </w:r>
          </w:p>
        </w:tc>
        <w:tc>
          <w:tcPr>
            <w:tcW w:w="1028" w:type="dxa"/>
            <w:tcBorders>
              <w:top w:val="nil"/>
              <w:left w:val="nil"/>
              <w:bottom w:val="single" w:sz="8" w:space="0" w:color="auto"/>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w:t>
            </w:r>
          </w:p>
        </w:tc>
        <w:tc>
          <w:tcPr>
            <w:tcW w:w="781" w:type="dxa"/>
            <w:tcBorders>
              <w:top w:val="nil"/>
              <w:left w:val="nil"/>
              <w:bottom w:val="single" w:sz="8" w:space="0" w:color="auto"/>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No.</w:t>
            </w:r>
          </w:p>
        </w:tc>
        <w:tc>
          <w:tcPr>
            <w:tcW w:w="1139" w:type="dxa"/>
            <w:tcBorders>
              <w:top w:val="nil"/>
              <w:left w:val="nil"/>
              <w:bottom w:val="single" w:sz="8" w:space="0" w:color="auto"/>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w:t>
            </w:r>
          </w:p>
        </w:tc>
        <w:tc>
          <w:tcPr>
            <w:tcW w:w="892" w:type="dxa"/>
            <w:tcBorders>
              <w:top w:val="nil"/>
              <w:left w:val="nil"/>
              <w:bottom w:val="single" w:sz="8" w:space="0" w:color="auto"/>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No.</w:t>
            </w:r>
          </w:p>
        </w:tc>
        <w:tc>
          <w:tcPr>
            <w:tcW w:w="1381" w:type="dxa"/>
            <w:tcBorders>
              <w:top w:val="nil"/>
              <w:left w:val="nil"/>
              <w:bottom w:val="single" w:sz="8" w:space="0" w:color="auto"/>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less than 5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43</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12.8</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48</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9.4</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91</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10.7</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5-9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40</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11.9</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59</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11.5</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99</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11.6</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10-14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38</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11.3</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65</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12.7</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103</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2014D5">
              <w:rPr>
                <w:rFonts w:ascii="Times New Roman" w:eastAsia="Times New Roman" w:hAnsi="Times New Roman" w:cs="Times New Roman"/>
                <w:color w:val="000000"/>
                <w:sz w:val="24"/>
                <w:szCs w:val="24"/>
                <w:lang w:val="en-US"/>
              </w:rPr>
              <w:t>12.2</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15-19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21</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6.2</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28</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5.5</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49</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5.8</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20-24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15</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4.5</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33</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6.4</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48</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5.6</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 xml:space="preserve"> 25-29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15</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4.5</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41</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8</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56</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6.6</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30-34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20</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5.9</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28</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5.5</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48</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5.6</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35-39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13</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3.9</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35</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6.8</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48</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5.6</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40-44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17</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36</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7</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53</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6.2</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45-49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21</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6.2</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31</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52</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6.1</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50-54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20</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5.9</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27</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2014D5">
              <w:rPr>
                <w:rFonts w:ascii="Times New Roman" w:eastAsia="Times New Roman" w:hAnsi="Times New Roman" w:cs="Times New Roman"/>
                <w:color w:val="000000"/>
                <w:sz w:val="24"/>
                <w:szCs w:val="24"/>
                <w:lang w:val="en-US"/>
              </w:rPr>
              <w:t>5.2</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47</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5.5</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55-59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23</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6.8</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29</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5.7</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52</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6.1</w:t>
            </w:r>
          </w:p>
        </w:tc>
      </w:tr>
      <w:tr w:rsidR="00B01217" w:rsidRPr="00631AB1" w:rsidTr="00A429C8">
        <w:trPr>
          <w:trHeight w:val="290"/>
        </w:trPr>
        <w:tc>
          <w:tcPr>
            <w:tcW w:w="2437" w:type="dxa"/>
            <w:tcBorders>
              <w:top w:val="nil"/>
              <w:left w:val="single" w:sz="8" w:space="0" w:color="auto"/>
              <w:bottom w:val="nil"/>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60-64 years</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23</w:t>
            </w:r>
          </w:p>
        </w:tc>
        <w:tc>
          <w:tcPr>
            <w:tcW w:w="1028"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6.8</w:t>
            </w:r>
          </w:p>
        </w:tc>
        <w:tc>
          <w:tcPr>
            <w:tcW w:w="781"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25</w:t>
            </w:r>
          </w:p>
        </w:tc>
        <w:tc>
          <w:tcPr>
            <w:tcW w:w="1139"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w:t>
            </w:r>
            <w:r w:rsidRPr="002014D5">
              <w:rPr>
                <w:rFonts w:ascii="Times New Roman" w:eastAsia="Times New Roman" w:hAnsi="Times New Roman" w:cs="Times New Roman"/>
                <w:color w:val="000000"/>
                <w:sz w:val="24"/>
                <w:szCs w:val="24"/>
                <w:lang w:val="en-US"/>
              </w:rPr>
              <w:t>8</w:t>
            </w:r>
          </w:p>
        </w:tc>
        <w:tc>
          <w:tcPr>
            <w:tcW w:w="892" w:type="dxa"/>
            <w:tcBorders>
              <w:top w:val="nil"/>
              <w:left w:val="nil"/>
              <w:bottom w:val="nil"/>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48</w:t>
            </w:r>
          </w:p>
        </w:tc>
        <w:tc>
          <w:tcPr>
            <w:tcW w:w="1381" w:type="dxa"/>
            <w:tcBorders>
              <w:top w:val="nil"/>
              <w:left w:val="nil"/>
              <w:bottom w:val="nil"/>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2014D5">
              <w:rPr>
                <w:rFonts w:ascii="Times New Roman" w:eastAsia="Times New Roman" w:hAnsi="Times New Roman" w:cs="Times New Roman"/>
                <w:color w:val="000000"/>
                <w:sz w:val="24"/>
                <w:szCs w:val="24"/>
                <w:lang w:val="en-US"/>
              </w:rPr>
              <w:t>5.7</w:t>
            </w:r>
          </w:p>
        </w:tc>
      </w:tr>
      <w:tr w:rsidR="00B01217" w:rsidRPr="00631AB1" w:rsidTr="00A429C8">
        <w:trPr>
          <w:trHeight w:val="300"/>
        </w:trPr>
        <w:tc>
          <w:tcPr>
            <w:tcW w:w="2437" w:type="dxa"/>
            <w:tcBorders>
              <w:top w:val="nil"/>
              <w:left w:val="single" w:sz="8" w:space="0" w:color="auto"/>
              <w:bottom w:val="single" w:sz="4" w:space="0" w:color="auto"/>
              <w:right w:val="single" w:sz="8"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65 years and above</w:t>
            </w:r>
          </w:p>
        </w:tc>
        <w:tc>
          <w:tcPr>
            <w:tcW w:w="892" w:type="dxa"/>
            <w:tcBorders>
              <w:top w:val="nil"/>
              <w:left w:val="nil"/>
              <w:bottom w:val="single" w:sz="4" w:space="0" w:color="auto"/>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28</w:t>
            </w:r>
          </w:p>
        </w:tc>
        <w:tc>
          <w:tcPr>
            <w:tcW w:w="1028" w:type="dxa"/>
            <w:tcBorders>
              <w:top w:val="nil"/>
              <w:left w:val="nil"/>
              <w:bottom w:val="single" w:sz="4" w:space="0" w:color="auto"/>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8.3</w:t>
            </w:r>
          </w:p>
        </w:tc>
        <w:tc>
          <w:tcPr>
            <w:tcW w:w="781" w:type="dxa"/>
            <w:tcBorders>
              <w:top w:val="nil"/>
              <w:left w:val="nil"/>
              <w:bottom w:val="single" w:sz="4" w:space="0" w:color="auto"/>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28</w:t>
            </w:r>
          </w:p>
        </w:tc>
        <w:tc>
          <w:tcPr>
            <w:tcW w:w="1139" w:type="dxa"/>
            <w:tcBorders>
              <w:top w:val="nil"/>
              <w:left w:val="nil"/>
              <w:bottom w:val="single" w:sz="4" w:space="0" w:color="auto"/>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5.5</w:t>
            </w:r>
          </w:p>
        </w:tc>
        <w:tc>
          <w:tcPr>
            <w:tcW w:w="892" w:type="dxa"/>
            <w:tcBorders>
              <w:top w:val="nil"/>
              <w:left w:val="nil"/>
              <w:bottom w:val="single" w:sz="4" w:space="0" w:color="auto"/>
              <w:right w:val="nil"/>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631AB1">
              <w:rPr>
                <w:rFonts w:ascii="Times New Roman" w:eastAsia="Times New Roman" w:hAnsi="Times New Roman" w:cs="Times New Roman"/>
                <w:color w:val="000000"/>
                <w:sz w:val="24"/>
                <w:szCs w:val="24"/>
                <w:lang w:val="en-US"/>
              </w:rPr>
              <w:t>56</w:t>
            </w:r>
          </w:p>
        </w:tc>
        <w:tc>
          <w:tcPr>
            <w:tcW w:w="1381" w:type="dxa"/>
            <w:tcBorders>
              <w:top w:val="nil"/>
              <w:left w:val="nil"/>
              <w:bottom w:val="single" w:sz="4" w:space="0" w:color="auto"/>
              <w:right w:val="single" w:sz="8"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color w:val="000000"/>
                <w:sz w:val="24"/>
                <w:szCs w:val="24"/>
                <w:lang w:val="en-US"/>
              </w:rPr>
            </w:pPr>
            <w:r w:rsidRPr="002014D5">
              <w:rPr>
                <w:rFonts w:ascii="Times New Roman" w:eastAsia="Times New Roman" w:hAnsi="Times New Roman" w:cs="Times New Roman"/>
                <w:color w:val="000000"/>
                <w:sz w:val="24"/>
                <w:szCs w:val="24"/>
                <w:lang w:val="en-US"/>
              </w:rPr>
              <w:t>6.7</w:t>
            </w:r>
          </w:p>
        </w:tc>
      </w:tr>
      <w:tr w:rsidR="00B01217" w:rsidRPr="002014D5" w:rsidTr="00A429C8">
        <w:trPr>
          <w:trHeight w:val="290"/>
        </w:trPr>
        <w:tc>
          <w:tcPr>
            <w:tcW w:w="24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01217" w:rsidRPr="00631AB1" w:rsidRDefault="00B01217" w:rsidP="00A429C8">
            <w:pPr>
              <w:spacing w:after="0" w:line="240" w:lineRule="auto"/>
              <w:rPr>
                <w:rFonts w:ascii="Times New Roman" w:eastAsia="Times New Roman" w:hAnsi="Times New Roman" w:cs="Times New Roman"/>
                <w:b/>
                <w:bCs/>
                <w:color w:val="000000"/>
                <w:sz w:val="24"/>
                <w:szCs w:val="24"/>
                <w:lang w:val="en-US"/>
              </w:rPr>
            </w:pPr>
            <w:r w:rsidRPr="00631AB1">
              <w:rPr>
                <w:rFonts w:ascii="Times New Roman" w:eastAsia="Times New Roman" w:hAnsi="Times New Roman" w:cs="Times New Roman"/>
                <w:b/>
                <w:bCs/>
                <w:color w:val="000000"/>
                <w:sz w:val="24"/>
                <w:szCs w:val="24"/>
                <w:lang w:val="en-US"/>
              </w:rPr>
              <w:t>Total</w:t>
            </w:r>
          </w:p>
        </w:tc>
        <w:tc>
          <w:tcPr>
            <w:tcW w:w="892" w:type="dxa"/>
            <w:tcBorders>
              <w:top w:val="single" w:sz="4" w:space="0" w:color="auto"/>
              <w:left w:val="single" w:sz="4" w:space="0" w:color="auto"/>
              <w:bottom w:val="single" w:sz="4"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color w:val="000000"/>
                <w:sz w:val="24"/>
                <w:szCs w:val="24"/>
                <w:lang w:val="en-US"/>
              </w:rPr>
            </w:pPr>
            <w:r w:rsidRPr="00631AB1">
              <w:rPr>
                <w:rFonts w:ascii="Times New Roman" w:eastAsia="Times New Roman" w:hAnsi="Times New Roman" w:cs="Times New Roman"/>
                <w:b/>
                <w:color w:val="000000"/>
                <w:sz w:val="24"/>
                <w:szCs w:val="24"/>
                <w:lang w:val="en-US"/>
              </w:rPr>
              <w:t>337</w:t>
            </w:r>
          </w:p>
        </w:tc>
        <w:tc>
          <w:tcPr>
            <w:tcW w:w="1028" w:type="dxa"/>
            <w:tcBorders>
              <w:top w:val="single" w:sz="4" w:space="0" w:color="auto"/>
              <w:bottom w:val="single" w:sz="4" w:space="0" w:color="auto"/>
              <w:right w:val="single" w:sz="4"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color w:val="000000"/>
                <w:sz w:val="24"/>
                <w:szCs w:val="24"/>
                <w:lang w:val="en-US"/>
              </w:rPr>
            </w:pPr>
            <w:r w:rsidRPr="00631AB1">
              <w:rPr>
                <w:rFonts w:ascii="Times New Roman" w:eastAsia="Times New Roman" w:hAnsi="Times New Roman" w:cs="Times New Roman"/>
                <w:b/>
                <w:color w:val="000000"/>
                <w:sz w:val="24"/>
                <w:szCs w:val="24"/>
                <w:lang w:val="en-US"/>
              </w:rPr>
              <w:t>100</w:t>
            </w:r>
          </w:p>
        </w:tc>
        <w:tc>
          <w:tcPr>
            <w:tcW w:w="781" w:type="dxa"/>
            <w:tcBorders>
              <w:top w:val="single" w:sz="4" w:space="0" w:color="auto"/>
              <w:left w:val="single" w:sz="4" w:space="0" w:color="auto"/>
              <w:bottom w:val="single" w:sz="4"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color w:val="000000"/>
                <w:sz w:val="24"/>
                <w:szCs w:val="24"/>
                <w:lang w:val="en-US"/>
              </w:rPr>
            </w:pPr>
            <w:r w:rsidRPr="00631AB1">
              <w:rPr>
                <w:rFonts w:ascii="Times New Roman" w:eastAsia="Times New Roman" w:hAnsi="Times New Roman" w:cs="Times New Roman"/>
                <w:b/>
                <w:color w:val="000000"/>
                <w:sz w:val="24"/>
                <w:szCs w:val="24"/>
                <w:lang w:val="en-US"/>
              </w:rPr>
              <w:t>513</w:t>
            </w:r>
          </w:p>
        </w:tc>
        <w:tc>
          <w:tcPr>
            <w:tcW w:w="1139" w:type="dxa"/>
            <w:tcBorders>
              <w:top w:val="single" w:sz="4" w:space="0" w:color="auto"/>
              <w:bottom w:val="single" w:sz="4" w:space="0" w:color="auto"/>
              <w:right w:val="single" w:sz="4"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color w:val="000000"/>
                <w:sz w:val="24"/>
                <w:szCs w:val="24"/>
                <w:lang w:val="en-US"/>
              </w:rPr>
            </w:pPr>
            <w:r w:rsidRPr="00A67F3C">
              <w:rPr>
                <w:rFonts w:ascii="Times New Roman" w:eastAsia="Times New Roman" w:hAnsi="Times New Roman" w:cs="Times New Roman"/>
                <w:b/>
                <w:color w:val="000000"/>
                <w:sz w:val="24"/>
                <w:szCs w:val="24"/>
                <w:lang w:val="en-US"/>
              </w:rPr>
              <w:t>100</w:t>
            </w:r>
          </w:p>
        </w:tc>
        <w:tc>
          <w:tcPr>
            <w:tcW w:w="892" w:type="dxa"/>
            <w:tcBorders>
              <w:top w:val="single" w:sz="4" w:space="0" w:color="auto"/>
              <w:left w:val="single" w:sz="4" w:space="0" w:color="auto"/>
              <w:bottom w:val="single" w:sz="4"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color w:val="000000"/>
                <w:sz w:val="24"/>
                <w:szCs w:val="24"/>
                <w:lang w:val="en-US"/>
              </w:rPr>
            </w:pPr>
            <w:r w:rsidRPr="00631AB1">
              <w:rPr>
                <w:rFonts w:ascii="Times New Roman" w:eastAsia="Times New Roman" w:hAnsi="Times New Roman" w:cs="Times New Roman"/>
                <w:b/>
                <w:color w:val="000000"/>
                <w:sz w:val="24"/>
                <w:szCs w:val="24"/>
                <w:lang w:val="en-US"/>
              </w:rPr>
              <w:t>850</w:t>
            </w:r>
          </w:p>
        </w:tc>
        <w:tc>
          <w:tcPr>
            <w:tcW w:w="1381" w:type="dxa"/>
            <w:tcBorders>
              <w:top w:val="single" w:sz="4" w:space="0" w:color="auto"/>
              <w:bottom w:val="single" w:sz="4" w:space="0" w:color="auto"/>
              <w:right w:val="single" w:sz="4" w:space="0" w:color="auto"/>
            </w:tcBorders>
            <w:shd w:val="clear" w:color="auto" w:fill="auto"/>
            <w:noWrap/>
            <w:vAlign w:val="bottom"/>
            <w:hideMark/>
          </w:tcPr>
          <w:p w:rsidR="00B01217" w:rsidRPr="00631AB1" w:rsidRDefault="00B01217" w:rsidP="00A429C8">
            <w:pPr>
              <w:spacing w:after="0" w:line="240" w:lineRule="auto"/>
              <w:jc w:val="right"/>
              <w:rPr>
                <w:rFonts w:ascii="Times New Roman" w:eastAsia="Times New Roman" w:hAnsi="Times New Roman" w:cs="Times New Roman"/>
                <w:b/>
                <w:color w:val="000000"/>
                <w:sz w:val="24"/>
                <w:szCs w:val="24"/>
                <w:lang w:val="en-US"/>
              </w:rPr>
            </w:pPr>
            <w:r w:rsidRPr="00A67F3C">
              <w:rPr>
                <w:rFonts w:ascii="Times New Roman" w:eastAsia="Times New Roman" w:hAnsi="Times New Roman" w:cs="Times New Roman"/>
                <w:b/>
                <w:color w:val="000000"/>
                <w:sz w:val="24"/>
                <w:szCs w:val="24"/>
                <w:lang w:val="en-US"/>
              </w:rPr>
              <w:t>100</w:t>
            </w:r>
          </w:p>
        </w:tc>
      </w:tr>
    </w:tbl>
    <w:p w:rsidR="00B01217" w:rsidRPr="006B0E5C" w:rsidRDefault="00B01217" w:rsidP="00B01217">
      <w:pPr>
        <w:jc w:val="both"/>
        <w:rPr>
          <w:rFonts w:ascii="Times New Roman" w:hAnsi="Times New Roman" w:cs="Times New Roman"/>
          <w:sz w:val="24"/>
          <w:szCs w:val="24"/>
        </w:rPr>
      </w:pPr>
    </w:p>
    <w:p w:rsidR="00B01217" w:rsidRDefault="00B01217" w:rsidP="00B01217">
      <w:pPr>
        <w:pStyle w:val="Heading3"/>
        <w:rPr>
          <w:rFonts w:ascii="Times New Roman" w:hAnsi="Times New Roman" w:cs="Times New Roman"/>
          <w:sz w:val="24"/>
          <w:szCs w:val="24"/>
        </w:rPr>
      </w:pPr>
      <w:bookmarkStart w:id="44" w:name="_Toc112709831"/>
      <w:r w:rsidRPr="006B0E5C">
        <w:rPr>
          <w:rFonts w:ascii="Times New Roman" w:hAnsi="Times New Roman" w:cs="Times New Roman"/>
          <w:sz w:val="24"/>
          <w:szCs w:val="24"/>
        </w:rPr>
        <w:t xml:space="preserve">3.1.3 Distribution of participants by </w:t>
      </w:r>
      <w:r>
        <w:rPr>
          <w:rFonts w:ascii="Times New Roman" w:hAnsi="Times New Roman" w:cs="Times New Roman"/>
          <w:sz w:val="24"/>
          <w:szCs w:val="24"/>
        </w:rPr>
        <w:t>sex</w:t>
      </w:r>
      <w:bookmarkEnd w:id="44"/>
      <w:r w:rsidRPr="006B0E5C">
        <w:rPr>
          <w:rFonts w:ascii="Times New Roman" w:hAnsi="Times New Roman" w:cs="Times New Roman"/>
          <w:sz w:val="24"/>
          <w:szCs w:val="24"/>
        </w:rPr>
        <w:t xml:space="preserve"> </w:t>
      </w:r>
    </w:p>
    <w:p w:rsidR="00B01217" w:rsidRPr="000574F6" w:rsidRDefault="00B01217" w:rsidP="00B01217">
      <w:pPr>
        <w:spacing w:line="360" w:lineRule="auto"/>
        <w:jc w:val="both"/>
        <w:rPr>
          <w:rFonts w:ascii="Times New Roman" w:hAnsi="Times New Roman" w:cs="Times New Roman"/>
          <w:sz w:val="24"/>
          <w:szCs w:val="24"/>
        </w:rPr>
      </w:pPr>
      <w:r w:rsidRPr="000574F6">
        <w:rPr>
          <w:rFonts w:ascii="Times New Roman" w:hAnsi="Times New Roman" w:cs="Times New Roman"/>
          <w:sz w:val="24"/>
          <w:szCs w:val="24"/>
        </w:rPr>
        <w:t xml:space="preserve">Table 2 presents an overview of </w:t>
      </w:r>
      <w:r>
        <w:rPr>
          <w:rFonts w:ascii="Times New Roman" w:hAnsi="Times New Roman" w:cs="Times New Roman"/>
          <w:sz w:val="24"/>
          <w:szCs w:val="24"/>
        </w:rPr>
        <w:t>percentage distribution by sex on across all the sites</w:t>
      </w:r>
      <w:r w:rsidRPr="000574F6">
        <w:rPr>
          <w:rFonts w:ascii="Times New Roman" w:hAnsi="Times New Roman" w:cs="Times New Roman"/>
          <w:sz w:val="24"/>
          <w:szCs w:val="24"/>
        </w:rPr>
        <w:t xml:space="preserve"> where the study was conducted. The study included more males than females, with 535 male participants (accounting for 62.9% of the total participants) and 315 female participants (accounting for 37.1% of the total participants). The proportion of male participants was higher in the Viwandani site, where it was 64.3%</w:t>
      </w:r>
      <w:r>
        <w:rPr>
          <w:rFonts w:ascii="Times New Roman" w:hAnsi="Times New Roman" w:cs="Times New Roman"/>
          <w:sz w:val="24"/>
          <w:szCs w:val="24"/>
        </w:rPr>
        <w:t>.</w:t>
      </w:r>
    </w:p>
    <w:p w:rsidR="00B01217" w:rsidRPr="006B0E5C" w:rsidRDefault="00B01217" w:rsidP="00B01217">
      <w:pPr>
        <w:pStyle w:val="Heading3"/>
        <w:rPr>
          <w:rFonts w:ascii="Times New Roman" w:hAnsi="Times New Roman" w:cs="Times New Roman"/>
          <w:sz w:val="24"/>
          <w:szCs w:val="24"/>
        </w:rPr>
      </w:pPr>
      <w:bookmarkStart w:id="45" w:name="_Toc112709832"/>
      <w:r w:rsidRPr="006B0E5C">
        <w:rPr>
          <w:rFonts w:ascii="Times New Roman" w:hAnsi="Times New Roman" w:cs="Times New Roman"/>
          <w:sz w:val="24"/>
          <w:szCs w:val="24"/>
        </w:rPr>
        <w:t>3.1.4 Religion</w:t>
      </w:r>
      <w:bookmarkEnd w:id="45"/>
      <w:r w:rsidRPr="006B0E5C">
        <w:rPr>
          <w:rFonts w:ascii="Times New Roman" w:hAnsi="Times New Roman" w:cs="Times New Roman"/>
          <w:sz w:val="24"/>
          <w:szCs w:val="24"/>
        </w:rPr>
        <w:t xml:space="preserve"> </w:t>
      </w:r>
    </w:p>
    <w:p w:rsidR="00B01217" w:rsidRPr="009212DB" w:rsidRDefault="00B01217" w:rsidP="00B01217">
      <w:pPr>
        <w:spacing w:line="360" w:lineRule="auto"/>
        <w:jc w:val="both"/>
        <w:rPr>
          <w:rFonts w:ascii="Times New Roman" w:hAnsi="Times New Roman" w:cs="Times New Roman"/>
          <w:sz w:val="24"/>
          <w:szCs w:val="24"/>
        </w:rPr>
      </w:pPr>
      <w:r w:rsidRPr="009212DB">
        <w:rPr>
          <w:rFonts w:ascii="Times New Roman" w:hAnsi="Times New Roman" w:cs="Times New Roman"/>
          <w:sz w:val="24"/>
          <w:szCs w:val="24"/>
        </w:rPr>
        <w:t>Table 2 shows that the majority of participants, comprising 328 (38.6%), identified as protestant. The second largest group was catholic with 244 (28.7%) participants, followed by other Christians with 201 (23.6%) participants. Among the participants, 53 (6.2%) identified as Muslims, 23 (2.7%) had no religious affiliation, and only one (0.1%) participant identified with traditional religion.</w:t>
      </w:r>
    </w:p>
    <w:p w:rsidR="00B01217" w:rsidRPr="006B0E5C" w:rsidRDefault="00B01217" w:rsidP="00B01217">
      <w:pPr>
        <w:pStyle w:val="Heading3"/>
        <w:rPr>
          <w:rFonts w:ascii="Times New Roman" w:hAnsi="Times New Roman" w:cs="Times New Roman"/>
          <w:sz w:val="24"/>
          <w:szCs w:val="24"/>
        </w:rPr>
      </w:pPr>
      <w:bookmarkStart w:id="46" w:name="_Toc112709833"/>
      <w:r w:rsidRPr="006B0E5C">
        <w:rPr>
          <w:rFonts w:ascii="Times New Roman" w:hAnsi="Times New Roman" w:cs="Times New Roman"/>
          <w:sz w:val="24"/>
          <w:szCs w:val="24"/>
        </w:rPr>
        <w:t>3.1.5 Participants’ Level of Education</w:t>
      </w:r>
      <w:bookmarkEnd w:id="46"/>
    </w:p>
    <w:p w:rsidR="00B01217" w:rsidRPr="00745F92" w:rsidRDefault="00B01217" w:rsidP="00B01217">
      <w:pPr>
        <w:spacing w:line="360" w:lineRule="auto"/>
        <w:jc w:val="both"/>
        <w:rPr>
          <w:rFonts w:ascii="Times New Roman" w:hAnsi="Times New Roman" w:cs="Times New Roman"/>
          <w:sz w:val="24"/>
          <w:szCs w:val="24"/>
        </w:rPr>
      </w:pPr>
      <w:r w:rsidRPr="00745F92">
        <w:rPr>
          <w:rFonts w:ascii="Times New Roman" w:hAnsi="Times New Roman" w:cs="Times New Roman"/>
          <w:sz w:val="24"/>
          <w:szCs w:val="24"/>
        </w:rPr>
        <w:t>Table 2 summarizes the education level of the study participants</w:t>
      </w:r>
      <w:r>
        <w:rPr>
          <w:rFonts w:ascii="Times New Roman" w:hAnsi="Times New Roman" w:cs="Times New Roman"/>
          <w:sz w:val="24"/>
          <w:szCs w:val="24"/>
        </w:rPr>
        <w:t xml:space="preserve">. </w:t>
      </w:r>
      <w:r w:rsidRPr="00745F92">
        <w:rPr>
          <w:rFonts w:ascii="Times New Roman" w:hAnsi="Times New Roman" w:cs="Times New Roman"/>
          <w:sz w:val="24"/>
          <w:szCs w:val="24"/>
        </w:rPr>
        <w:t xml:space="preserve">The education level of the participants in the study varied from those who had no </w:t>
      </w:r>
      <w:r>
        <w:rPr>
          <w:rFonts w:ascii="Times New Roman" w:hAnsi="Times New Roman" w:cs="Times New Roman"/>
          <w:sz w:val="24"/>
          <w:szCs w:val="24"/>
        </w:rPr>
        <w:t xml:space="preserve">formal </w:t>
      </w:r>
      <w:r w:rsidRPr="00745F92">
        <w:rPr>
          <w:rFonts w:ascii="Times New Roman" w:hAnsi="Times New Roman" w:cs="Times New Roman"/>
          <w:sz w:val="24"/>
          <w:szCs w:val="24"/>
        </w:rPr>
        <w:t xml:space="preserve">schooling to those who had completed post-secondary education. Most of the participants (297) had not completed primary </w:t>
      </w:r>
      <w:r w:rsidRPr="00745F92">
        <w:rPr>
          <w:rFonts w:ascii="Times New Roman" w:hAnsi="Times New Roman" w:cs="Times New Roman"/>
          <w:sz w:val="24"/>
          <w:szCs w:val="24"/>
        </w:rPr>
        <w:lastRenderedPageBreak/>
        <w:t xml:space="preserve">school (34.9%), </w:t>
      </w:r>
      <w:r>
        <w:rPr>
          <w:rFonts w:ascii="Times New Roman" w:hAnsi="Times New Roman" w:cs="Times New Roman"/>
          <w:sz w:val="24"/>
          <w:szCs w:val="24"/>
        </w:rPr>
        <w:t>and</w:t>
      </w:r>
      <w:r w:rsidRPr="00745F92">
        <w:rPr>
          <w:rFonts w:ascii="Times New Roman" w:hAnsi="Times New Roman" w:cs="Times New Roman"/>
          <w:sz w:val="24"/>
          <w:szCs w:val="24"/>
        </w:rPr>
        <w:t xml:space="preserve"> only a small number (41 participants, 4.8%) had finished post-secondary education. </w:t>
      </w:r>
    </w:p>
    <w:p w:rsidR="00B01217" w:rsidRPr="006B0E5C" w:rsidRDefault="00B01217" w:rsidP="00B01217">
      <w:pPr>
        <w:pStyle w:val="Caption"/>
        <w:keepNext/>
        <w:rPr>
          <w:rFonts w:ascii="Times New Roman" w:hAnsi="Times New Roman" w:cs="Times New Roman"/>
          <w:i w:val="0"/>
          <w:color w:val="000000" w:themeColor="text1"/>
          <w:sz w:val="24"/>
          <w:szCs w:val="24"/>
        </w:rPr>
      </w:pPr>
      <w:bookmarkStart w:id="47" w:name="_Toc111641458"/>
      <w:r w:rsidRPr="006B0E5C">
        <w:rPr>
          <w:rFonts w:ascii="Times New Roman" w:hAnsi="Times New Roman" w:cs="Times New Roman"/>
          <w:i w:val="0"/>
          <w:color w:val="000000" w:themeColor="text1"/>
          <w:sz w:val="24"/>
          <w:szCs w:val="24"/>
        </w:rPr>
        <w:t xml:space="preserve">Table </w:t>
      </w:r>
      <w:r w:rsidRPr="006B0E5C">
        <w:rPr>
          <w:rFonts w:ascii="Times New Roman" w:hAnsi="Times New Roman" w:cs="Times New Roman"/>
          <w:i w:val="0"/>
          <w:color w:val="000000" w:themeColor="text1"/>
          <w:sz w:val="24"/>
          <w:szCs w:val="24"/>
        </w:rPr>
        <w:fldChar w:fldCharType="begin"/>
      </w:r>
      <w:r w:rsidRPr="006B0E5C">
        <w:rPr>
          <w:rFonts w:ascii="Times New Roman" w:hAnsi="Times New Roman" w:cs="Times New Roman"/>
          <w:i w:val="0"/>
          <w:color w:val="000000" w:themeColor="text1"/>
          <w:sz w:val="24"/>
          <w:szCs w:val="24"/>
        </w:rPr>
        <w:instrText xml:space="preserve"> SEQ Table \* ARABIC </w:instrText>
      </w:r>
      <w:r w:rsidRPr="006B0E5C">
        <w:rPr>
          <w:rFonts w:ascii="Times New Roman" w:hAnsi="Times New Roman" w:cs="Times New Roman"/>
          <w:i w:val="0"/>
          <w:color w:val="000000" w:themeColor="text1"/>
          <w:sz w:val="24"/>
          <w:szCs w:val="24"/>
        </w:rPr>
        <w:fldChar w:fldCharType="separate"/>
      </w:r>
      <w:r w:rsidRPr="006B0E5C">
        <w:rPr>
          <w:rFonts w:ascii="Times New Roman" w:hAnsi="Times New Roman" w:cs="Times New Roman"/>
          <w:i w:val="0"/>
          <w:noProof/>
          <w:color w:val="000000" w:themeColor="text1"/>
          <w:sz w:val="24"/>
          <w:szCs w:val="24"/>
        </w:rPr>
        <w:t>2</w:t>
      </w:r>
      <w:r w:rsidRPr="006B0E5C">
        <w:rPr>
          <w:rFonts w:ascii="Times New Roman" w:hAnsi="Times New Roman" w:cs="Times New Roman"/>
          <w:i w:val="0"/>
          <w:color w:val="000000" w:themeColor="text1"/>
          <w:sz w:val="24"/>
          <w:szCs w:val="24"/>
        </w:rPr>
        <w:fldChar w:fldCharType="end"/>
      </w:r>
      <w:r w:rsidRPr="006B0E5C">
        <w:rPr>
          <w:rFonts w:ascii="Times New Roman" w:hAnsi="Times New Roman" w:cs="Times New Roman"/>
          <w:i w:val="0"/>
          <w:color w:val="000000" w:themeColor="text1"/>
          <w:sz w:val="24"/>
          <w:szCs w:val="24"/>
        </w:rPr>
        <w:t>. Distribution of participants by gender, religion and level of education</w:t>
      </w:r>
      <w:bookmarkEnd w:id="47"/>
    </w:p>
    <w:tbl>
      <w:tblPr>
        <w:tblW w:w="9440" w:type="dxa"/>
        <w:tblLook w:val="04A0" w:firstRow="1" w:lastRow="0" w:firstColumn="1" w:lastColumn="0" w:noHBand="0" w:noVBand="1"/>
      </w:tblPr>
      <w:tblGrid>
        <w:gridCol w:w="3680"/>
        <w:gridCol w:w="912"/>
        <w:gridCol w:w="1053"/>
        <w:gridCol w:w="900"/>
        <w:gridCol w:w="1040"/>
        <w:gridCol w:w="862"/>
        <w:gridCol w:w="993"/>
      </w:tblGrid>
      <w:tr w:rsidR="00B01217" w:rsidRPr="00745F92" w:rsidTr="00A429C8">
        <w:trPr>
          <w:trHeight w:val="290"/>
        </w:trPr>
        <w:tc>
          <w:tcPr>
            <w:tcW w:w="3680" w:type="dxa"/>
            <w:tcBorders>
              <w:top w:val="single" w:sz="8" w:space="0" w:color="auto"/>
              <w:left w:val="single" w:sz="8" w:space="0" w:color="auto"/>
              <w:bottom w:val="nil"/>
              <w:right w:val="single" w:sz="12"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 xml:space="preserve"> Participant’s characteristic </w:t>
            </w:r>
          </w:p>
        </w:tc>
        <w:tc>
          <w:tcPr>
            <w:tcW w:w="1965"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Korogocho</w:t>
            </w:r>
          </w:p>
        </w:tc>
        <w:tc>
          <w:tcPr>
            <w:tcW w:w="1940"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Viwandani</w:t>
            </w:r>
          </w:p>
        </w:tc>
        <w:tc>
          <w:tcPr>
            <w:tcW w:w="1855"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Total</w:t>
            </w:r>
          </w:p>
        </w:tc>
      </w:tr>
      <w:tr w:rsidR="00B01217" w:rsidRPr="00745F92" w:rsidTr="00A429C8">
        <w:trPr>
          <w:trHeight w:val="30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 </w:t>
            </w:r>
          </w:p>
        </w:tc>
        <w:tc>
          <w:tcPr>
            <w:tcW w:w="912"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No.</w:t>
            </w:r>
          </w:p>
        </w:tc>
        <w:tc>
          <w:tcPr>
            <w:tcW w:w="1053"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w:t>
            </w:r>
          </w:p>
        </w:tc>
        <w:tc>
          <w:tcPr>
            <w:tcW w:w="900"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No.</w:t>
            </w:r>
          </w:p>
        </w:tc>
        <w:tc>
          <w:tcPr>
            <w:tcW w:w="1040"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w:t>
            </w:r>
          </w:p>
        </w:tc>
        <w:tc>
          <w:tcPr>
            <w:tcW w:w="862"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No.</w:t>
            </w:r>
          </w:p>
        </w:tc>
        <w:tc>
          <w:tcPr>
            <w:tcW w:w="993"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center"/>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
                <w:bCs/>
                <w:sz w:val="24"/>
                <w:szCs w:val="24"/>
                <w:lang w:val="en-US" w:eastAsia="en-US"/>
              </w:rPr>
            </w:pPr>
            <w:r w:rsidRPr="00745F92">
              <w:rPr>
                <w:rFonts w:ascii="Times New Roman" w:eastAsia="Times New Roman" w:hAnsi="Times New Roman" w:cs="Times New Roman"/>
                <w:b/>
                <w:bCs/>
                <w:sz w:val="24"/>
                <w:szCs w:val="24"/>
                <w:lang w:val="en-US" w:eastAsia="en-US"/>
              </w:rPr>
              <w:t>Gender</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Cs/>
                <w:color w:val="000000"/>
                <w:sz w:val="24"/>
                <w:szCs w:val="24"/>
                <w:lang w:val="en-US" w:eastAsia="en-US"/>
              </w:rPr>
            </w:pPr>
            <w:r w:rsidRPr="00745F92">
              <w:rPr>
                <w:rFonts w:ascii="Times New Roman" w:eastAsia="Times New Roman" w:hAnsi="Times New Roman" w:cs="Times New Roman"/>
                <w:bCs/>
                <w:color w:val="000000"/>
                <w:sz w:val="24"/>
                <w:szCs w:val="24"/>
                <w:lang w:val="en-US" w:eastAsia="en-US"/>
              </w:rPr>
              <w:t>Female</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132</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39.2</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183</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35.7</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315</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37.1</w:t>
            </w:r>
          </w:p>
        </w:tc>
      </w:tr>
      <w:tr w:rsidR="00B01217" w:rsidRPr="00745F92" w:rsidTr="00A429C8">
        <w:trPr>
          <w:trHeight w:val="290"/>
        </w:trPr>
        <w:tc>
          <w:tcPr>
            <w:tcW w:w="3680" w:type="dxa"/>
            <w:tcBorders>
              <w:top w:val="nil"/>
              <w:left w:val="single" w:sz="8" w:space="0" w:color="auto"/>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Cs/>
                <w:color w:val="000000"/>
                <w:sz w:val="24"/>
                <w:szCs w:val="24"/>
                <w:lang w:val="en-US" w:eastAsia="en-US"/>
              </w:rPr>
            </w:pPr>
            <w:r w:rsidRPr="00745F92">
              <w:rPr>
                <w:rFonts w:ascii="Times New Roman" w:eastAsia="Times New Roman" w:hAnsi="Times New Roman" w:cs="Times New Roman"/>
                <w:bCs/>
                <w:color w:val="000000"/>
                <w:sz w:val="24"/>
                <w:szCs w:val="24"/>
                <w:lang w:val="en-US" w:eastAsia="en-US"/>
              </w:rPr>
              <w:t>Male</w:t>
            </w:r>
          </w:p>
        </w:tc>
        <w:tc>
          <w:tcPr>
            <w:tcW w:w="912"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205</w:t>
            </w:r>
          </w:p>
        </w:tc>
        <w:tc>
          <w:tcPr>
            <w:tcW w:w="1053"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60.8</w:t>
            </w:r>
          </w:p>
        </w:tc>
        <w:tc>
          <w:tcPr>
            <w:tcW w:w="900"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330</w:t>
            </w:r>
          </w:p>
        </w:tc>
        <w:tc>
          <w:tcPr>
            <w:tcW w:w="1040"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64.3</w:t>
            </w:r>
          </w:p>
        </w:tc>
        <w:tc>
          <w:tcPr>
            <w:tcW w:w="862"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535</w:t>
            </w:r>
          </w:p>
        </w:tc>
        <w:tc>
          <w:tcPr>
            <w:tcW w:w="993"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62.9</w:t>
            </w:r>
          </w:p>
        </w:tc>
      </w:tr>
      <w:tr w:rsidR="00B01217" w:rsidRPr="00745F92" w:rsidTr="00A429C8">
        <w:trPr>
          <w:trHeight w:val="300"/>
        </w:trPr>
        <w:tc>
          <w:tcPr>
            <w:tcW w:w="3680" w:type="dxa"/>
            <w:tcBorders>
              <w:top w:val="single" w:sz="12" w:space="0" w:color="auto"/>
              <w:left w:val="single" w:sz="8" w:space="0" w:color="auto"/>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Total</w:t>
            </w:r>
          </w:p>
        </w:tc>
        <w:tc>
          <w:tcPr>
            <w:tcW w:w="912"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337</w:t>
            </w:r>
          </w:p>
        </w:tc>
        <w:tc>
          <w:tcPr>
            <w:tcW w:w="1053"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100</w:t>
            </w:r>
          </w:p>
        </w:tc>
        <w:tc>
          <w:tcPr>
            <w:tcW w:w="900"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513</w:t>
            </w:r>
          </w:p>
        </w:tc>
        <w:tc>
          <w:tcPr>
            <w:tcW w:w="1040"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100</w:t>
            </w:r>
          </w:p>
        </w:tc>
        <w:tc>
          <w:tcPr>
            <w:tcW w:w="862"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850</w:t>
            </w:r>
          </w:p>
        </w:tc>
        <w:tc>
          <w:tcPr>
            <w:tcW w:w="993"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100</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
                <w:bCs/>
                <w:color w:val="0070C0"/>
                <w:sz w:val="24"/>
                <w:szCs w:val="24"/>
                <w:lang w:val="en-US" w:eastAsia="en-US"/>
              </w:rPr>
            </w:pPr>
            <w:r w:rsidRPr="00745F92">
              <w:rPr>
                <w:rFonts w:ascii="Times New Roman" w:eastAsia="Times New Roman" w:hAnsi="Times New Roman" w:cs="Times New Roman"/>
                <w:b/>
                <w:bCs/>
                <w:sz w:val="24"/>
                <w:szCs w:val="24"/>
                <w:lang w:val="en-US" w:eastAsia="en-US"/>
              </w:rPr>
              <w:t>Religion</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None</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10</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13</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2.5</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23</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2.7</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xml:space="preserve">Muslim </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37</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11</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16</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3.1</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53</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6.2</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Catholic</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92</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27.3</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152</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29.6</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244</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28.7</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Protestant</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106</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31.5</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222</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43.3</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328</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38.6</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Other Christians</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92</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27.3</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109</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21.2</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201</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23.6</w:t>
            </w:r>
          </w:p>
        </w:tc>
      </w:tr>
      <w:tr w:rsidR="00B01217" w:rsidRPr="00745F92" w:rsidTr="00A429C8">
        <w:trPr>
          <w:trHeight w:val="290"/>
        </w:trPr>
        <w:tc>
          <w:tcPr>
            <w:tcW w:w="3680" w:type="dxa"/>
            <w:tcBorders>
              <w:top w:val="nil"/>
              <w:left w:val="single" w:sz="8" w:space="0" w:color="auto"/>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Traditional religion</w:t>
            </w:r>
          </w:p>
        </w:tc>
        <w:tc>
          <w:tcPr>
            <w:tcW w:w="912"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0</w:t>
            </w:r>
          </w:p>
        </w:tc>
        <w:tc>
          <w:tcPr>
            <w:tcW w:w="1053"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0</w:t>
            </w:r>
          </w:p>
        </w:tc>
        <w:tc>
          <w:tcPr>
            <w:tcW w:w="900"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w:t>
            </w:r>
          </w:p>
        </w:tc>
        <w:tc>
          <w:tcPr>
            <w:tcW w:w="1040"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0.2</w:t>
            </w:r>
          </w:p>
        </w:tc>
        <w:tc>
          <w:tcPr>
            <w:tcW w:w="862"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w:t>
            </w:r>
          </w:p>
        </w:tc>
        <w:tc>
          <w:tcPr>
            <w:tcW w:w="993"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0.1</w:t>
            </w:r>
          </w:p>
        </w:tc>
      </w:tr>
      <w:tr w:rsidR="00B01217" w:rsidRPr="00745F92" w:rsidTr="00A429C8">
        <w:trPr>
          <w:trHeight w:val="300"/>
        </w:trPr>
        <w:tc>
          <w:tcPr>
            <w:tcW w:w="3680" w:type="dxa"/>
            <w:tcBorders>
              <w:top w:val="single" w:sz="12" w:space="0" w:color="auto"/>
              <w:left w:val="single" w:sz="8" w:space="0" w:color="auto"/>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Total</w:t>
            </w:r>
          </w:p>
        </w:tc>
        <w:tc>
          <w:tcPr>
            <w:tcW w:w="912"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337</w:t>
            </w:r>
          </w:p>
        </w:tc>
        <w:tc>
          <w:tcPr>
            <w:tcW w:w="1053"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100.1</w:t>
            </w:r>
          </w:p>
        </w:tc>
        <w:tc>
          <w:tcPr>
            <w:tcW w:w="900"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513</w:t>
            </w:r>
          </w:p>
        </w:tc>
        <w:tc>
          <w:tcPr>
            <w:tcW w:w="1040"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100</w:t>
            </w:r>
          </w:p>
        </w:tc>
        <w:tc>
          <w:tcPr>
            <w:tcW w:w="862" w:type="dxa"/>
            <w:tcBorders>
              <w:top w:val="single" w:sz="12" w:space="0" w:color="auto"/>
              <w:left w:val="nil"/>
              <w:bottom w:val="single" w:sz="8"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850</w:t>
            </w:r>
          </w:p>
        </w:tc>
        <w:tc>
          <w:tcPr>
            <w:tcW w:w="993" w:type="dxa"/>
            <w:tcBorders>
              <w:top w:val="single" w:sz="12" w:space="0" w:color="auto"/>
              <w:left w:val="nil"/>
              <w:bottom w:val="single" w:sz="8"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745F92">
              <w:rPr>
                <w:rFonts w:eastAsia="Times New Roman"/>
                <w:b/>
                <w:bCs/>
                <w:color w:val="000000"/>
                <w:sz w:val="24"/>
                <w:szCs w:val="24"/>
                <w:lang w:val="en-US"/>
              </w:rPr>
              <w:t>100</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
                <w:bCs/>
                <w:color w:val="0070C0"/>
                <w:sz w:val="24"/>
                <w:szCs w:val="24"/>
                <w:lang w:val="en-US" w:eastAsia="en-US"/>
              </w:rPr>
            </w:pPr>
            <w:r w:rsidRPr="00745F92">
              <w:rPr>
                <w:rFonts w:ascii="Times New Roman" w:eastAsia="Times New Roman" w:hAnsi="Times New Roman" w:cs="Times New Roman"/>
                <w:b/>
                <w:bCs/>
                <w:sz w:val="24"/>
                <w:szCs w:val="24"/>
                <w:lang w:val="en-US" w:eastAsia="en-US"/>
              </w:rPr>
              <w:t>Level of education</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 </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No formal education</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67</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19.9</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55</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10.7</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122</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14.4</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Incomplete primary</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134</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39.8</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163</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31.8</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297</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34.9</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Complete primary</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56</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16.6</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95</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18.5</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151</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17.8</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Incomplete secondary</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34</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10.1</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61</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11.9</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95</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11.2</w:t>
            </w:r>
          </w:p>
        </w:tc>
      </w:tr>
      <w:tr w:rsidR="00B01217" w:rsidRPr="00745F92" w:rsidTr="00A429C8">
        <w:trPr>
          <w:trHeight w:val="290"/>
        </w:trPr>
        <w:tc>
          <w:tcPr>
            <w:tcW w:w="3680" w:type="dxa"/>
            <w:tcBorders>
              <w:top w:val="nil"/>
              <w:left w:val="single" w:sz="8" w:space="0" w:color="auto"/>
              <w:bottom w:val="nil"/>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Complete secondary</w:t>
            </w:r>
          </w:p>
        </w:tc>
        <w:tc>
          <w:tcPr>
            <w:tcW w:w="91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36</w:t>
            </w:r>
          </w:p>
        </w:tc>
        <w:tc>
          <w:tcPr>
            <w:tcW w:w="105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10.7</w:t>
            </w:r>
          </w:p>
        </w:tc>
        <w:tc>
          <w:tcPr>
            <w:tcW w:w="900"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108</w:t>
            </w:r>
          </w:p>
        </w:tc>
        <w:tc>
          <w:tcPr>
            <w:tcW w:w="1040"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21.1</w:t>
            </w:r>
          </w:p>
        </w:tc>
        <w:tc>
          <w:tcPr>
            <w:tcW w:w="862" w:type="dxa"/>
            <w:tcBorders>
              <w:top w:val="nil"/>
              <w:left w:val="nil"/>
              <w:bottom w:val="nil"/>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144</w:t>
            </w:r>
          </w:p>
        </w:tc>
        <w:tc>
          <w:tcPr>
            <w:tcW w:w="993" w:type="dxa"/>
            <w:tcBorders>
              <w:top w:val="nil"/>
              <w:left w:val="nil"/>
              <w:bottom w:val="nil"/>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16.9</w:t>
            </w:r>
          </w:p>
        </w:tc>
      </w:tr>
      <w:tr w:rsidR="00B01217" w:rsidRPr="00745F92" w:rsidTr="00A429C8">
        <w:trPr>
          <w:trHeight w:val="290"/>
        </w:trPr>
        <w:tc>
          <w:tcPr>
            <w:tcW w:w="3680" w:type="dxa"/>
            <w:tcBorders>
              <w:top w:val="nil"/>
              <w:left w:val="single" w:sz="8" w:space="0" w:color="auto"/>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color w:val="000000"/>
                <w:sz w:val="24"/>
                <w:szCs w:val="24"/>
                <w:lang w:val="en-US" w:eastAsia="en-US"/>
              </w:rPr>
            </w:pPr>
            <w:r w:rsidRPr="00745F92">
              <w:rPr>
                <w:rFonts w:ascii="Times New Roman" w:eastAsia="Times New Roman" w:hAnsi="Times New Roman" w:cs="Times New Roman"/>
                <w:color w:val="000000"/>
                <w:sz w:val="24"/>
                <w:szCs w:val="24"/>
                <w:lang w:val="en-US" w:eastAsia="en-US"/>
              </w:rPr>
              <w:t>Post-secondary</w:t>
            </w:r>
          </w:p>
        </w:tc>
        <w:tc>
          <w:tcPr>
            <w:tcW w:w="912"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10</w:t>
            </w:r>
          </w:p>
        </w:tc>
        <w:tc>
          <w:tcPr>
            <w:tcW w:w="1053"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w:t>
            </w:r>
          </w:p>
        </w:tc>
        <w:tc>
          <w:tcPr>
            <w:tcW w:w="900"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31</w:t>
            </w:r>
          </w:p>
        </w:tc>
        <w:tc>
          <w:tcPr>
            <w:tcW w:w="1040"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6</w:t>
            </w:r>
          </w:p>
        </w:tc>
        <w:tc>
          <w:tcPr>
            <w:tcW w:w="862" w:type="dxa"/>
            <w:tcBorders>
              <w:top w:val="nil"/>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41</w:t>
            </w:r>
          </w:p>
        </w:tc>
        <w:tc>
          <w:tcPr>
            <w:tcW w:w="993" w:type="dxa"/>
            <w:tcBorders>
              <w:top w:val="nil"/>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color w:val="000000"/>
                <w:sz w:val="24"/>
                <w:szCs w:val="24"/>
                <w:lang w:val="en-US" w:eastAsia="en-US"/>
              </w:rPr>
            </w:pPr>
            <w:r w:rsidRPr="00C3217D">
              <w:rPr>
                <w:rFonts w:eastAsia="Times New Roman"/>
                <w:color w:val="000000"/>
                <w:sz w:val="24"/>
                <w:szCs w:val="24"/>
                <w:lang w:val="en-US"/>
              </w:rPr>
              <w:t>4.8</w:t>
            </w:r>
          </w:p>
        </w:tc>
      </w:tr>
      <w:tr w:rsidR="00B01217" w:rsidRPr="00745F92" w:rsidTr="00A429C8">
        <w:trPr>
          <w:trHeight w:val="290"/>
        </w:trPr>
        <w:tc>
          <w:tcPr>
            <w:tcW w:w="3680" w:type="dxa"/>
            <w:tcBorders>
              <w:top w:val="single" w:sz="12" w:space="0" w:color="auto"/>
              <w:left w:val="single" w:sz="8" w:space="0" w:color="auto"/>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rPr>
                <w:rFonts w:ascii="Times New Roman" w:eastAsia="Times New Roman" w:hAnsi="Times New Roman" w:cs="Times New Roman"/>
                <w:b/>
                <w:bCs/>
                <w:color w:val="000000"/>
                <w:sz w:val="24"/>
                <w:szCs w:val="24"/>
                <w:lang w:val="en-US" w:eastAsia="en-US"/>
              </w:rPr>
            </w:pPr>
            <w:r w:rsidRPr="00745F92">
              <w:rPr>
                <w:rFonts w:ascii="Times New Roman" w:eastAsia="Times New Roman" w:hAnsi="Times New Roman" w:cs="Times New Roman"/>
                <w:b/>
                <w:bCs/>
                <w:color w:val="000000"/>
                <w:sz w:val="24"/>
                <w:szCs w:val="24"/>
                <w:lang w:val="en-US" w:eastAsia="en-US"/>
              </w:rPr>
              <w:t>Total</w:t>
            </w:r>
          </w:p>
        </w:tc>
        <w:tc>
          <w:tcPr>
            <w:tcW w:w="912" w:type="dxa"/>
            <w:tcBorders>
              <w:top w:val="single" w:sz="12" w:space="0" w:color="auto"/>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337</w:t>
            </w:r>
          </w:p>
        </w:tc>
        <w:tc>
          <w:tcPr>
            <w:tcW w:w="1053" w:type="dxa"/>
            <w:tcBorders>
              <w:top w:val="single" w:sz="12" w:space="0" w:color="auto"/>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100.1</w:t>
            </w:r>
          </w:p>
        </w:tc>
        <w:tc>
          <w:tcPr>
            <w:tcW w:w="900" w:type="dxa"/>
            <w:tcBorders>
              <w:top w:val="single" w:sz="12" w:space="0" w:color="auto"/>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513</w:t>
            </w:r>
          </w:p>
        </w:tc>
        <w:tc>
          <w:tcPr>
            <w:tcW w:w="1040" w:type="dxa"/>
            <w:tcBorders>
              <w:top w:val="single" w:sz="12" w:space="0" w:color="auto"/>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100</w:t>
            </w:r>
          </w:p>
        </w:tc>
        <w:tc>
          <w:tcPr>
            <w:tcW w:w="862" w:type="dxa"/>
            <w:tcBorders>
              <w:top w:val="single" w:sz="12" w:space="0" w:color="auto"/>
              <w:left w:val="nil"/>
              <w:bottom w:val="single" w:sz="12" w:space="0" w:color="auto"/>
              <w:right w:val="nil"/>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850</w:t>
            </w:r>
          </w:p>
        </w:tc>
        <w:tc>
          <w:tcPr>
            <w:tcW w:w="993" w:type="dxa"/>
            <w:tcBorders>
              <w:top w:val="single" w:sz="12" w:space="0" w:color="auto"/>
              <w:left w:val="nil"/>
              <w:bottom w:val="single" w:sz="12" w:space="0" w:color="auto"/>
              <w:right w:val="single" w:sz="8" w:space="0" w:color="auto"/>
            </w:tcBorders>
            <w:shd w:val="clear" w:color="auto" w:fill="auto"/>
            <w:noWrap/>
            <w:vAlign w:val="bottom"/>
            <w:hideMark/>
          </w:tcPr>
          <w:p w:rsidR="00B01217" w:rsidRPr="00745F92" w:rsidRDefault="00B01217" w:rsidP="00A429C8">
            <w:pPr>
              <w:spacing w:after="0" w:line="240" w:lineRule="auto"/>
              <w:jc w:val="right"/>
              <w:rPr>
                <w:rFonts w:ascii="Times New Roman" w:eastAsia="Times New Roman" w:hAnsi="Times New Roman" w:cs="Times New Roman"/>
                <w:b/>
                <w:bCs/>
                <w:color w:val="000000"/>
                <w:sz w:val="24"/>
                <w:szCs w:val="24"/>
                <w:lang w:val="en-US" w:eastAsia="en-US"/>
              </w:rPr>
            </w:pPr>
            <w:r w:rsidRPr="00C3217D">
              <w:rPr>
                <w:rFonts w:eastAsia="Times New Roman"/>
                <w:b/>
                <w:bCs/>
                <w:color w:val="000000"/>
                <w:sz w:val="24"/>
                <w:szCs w:val="24"/>
                <w:lang w:val="en-US"/>
              </w:rPr>
              <w:t>100</w:t>
            </w:r>
          </w:p>
        </w:tc>
      </w:tr>
    </w:tbl>
    <w:p w:rsidR="00B01217" w:rsidRPr="006B0E5C" w:rsidRDefault="00B01217" w:rsidP="00B01217">
      <w:pPr>
        <w:pStyle w:val="Heading2"/>
        <w:rPr>
          <w:rFonts w:ascii="Times New Roman" w:hAnsi="Times New Roman" w:cs="Times New Roman"/>
          <w:sz w:val="24"/>
          <w:szCs w:val="24"/>
        </w:rPr>
      </w:pPr>
      <w:bookmarkStart w:id="48" w:name="_Toc112709834"/>
      <w:r w:rsidRPr="006B0E5C">
        <w:rPr>
          <w:rFonts w:ascii="Times New Roman" w:hAnsi="Times New Roman" w:cs="Times New Roman"/>
          <w:sz w:val="24"/>
          <w:szCs w:val="24"/>
        </w:rPr>
        <w:t>3.2 SARS CoV-2 Antibodies Prevalence</w:t>
      </w:r>
      <w:bookmarkEnd w:id="48"/>
      <w:r w:rsidRPr="006B0E5C">
        <w:rPr>
          <w:rFonts w:ascii="Times New Roman" w:hAnsi="Times New Roman" w:cs="Times New Roman"/>
          <w:sz w:val="24"/>
          <w:szCs w:val="24"/>
        </w:rPr>
        <w:t xml:space="preserve"> </w:t>
      </w:r>
    </w:p>
    <w:p w:rsidR="00B01217" w:rsidRPr="0087032F" w:rsidRDefault="00B01217" w:rsidP="00B01217">
      <w:pPr>
        <w:spacing w:line="360" w:lineRule="auto"/>
        <w:jc w:val="both"/>
        <w:rPr>
          <w:rFonts w:ascii="Times New Roman" w:hAnsi="Times New Roman" w:cs="Times New Roman"/>
          <w:sz w:val="24"/>
          <w:szCs w:val="24"/>
        </w:rPr>
      </w:pPr>
      <w:r w:rsidRPr="0087032F">
        <w:rPr>
          <w:rFonts w:ascii="Times New Roman" w:hAnsi="Times New Roman" w:cs="Times New Roman"/>
          <w:sz w:val="24"/>
          <w:szCs w:val="24"/>
        </w:rPr>
        <w:t>Out of the 850 people tested</w:t>
      </w:r>
      <w:r>
        <w:rPr>
          <w:rFonts w:ascii="Times New Roman" w:hAnsi="Times New Roman" w:cs="Times New Roman"/>
          <w:sz w:val="24"/>
          <w:szCs w:val="24"/>
        </w:rPr>
        <w:t xml:space="preserve">, 784 participants (92.2%) were </w:t>
      </w:r>
      <w:r w:rsidRPr="0087032F">
        <w:rPr>
          <w:rFonts w:ascii="Times New Roman" w:hAnsi="Times New Roman" w:cs="Times New Roman"/>
          <w:sz w:val="24"/>
          <w:szCs w:val="24"/>
        </w:rPr>
        <w:t>found to have antibodies</w:t>
      </w:r>
      <w:r w:rsidR="00644A70">
        <w:rPr>
          <w:rFonts w:ascii="Times New Roman" w:hAnsi="Times New Roman" w:cs="Times New Roman"/>
          <w:sz w:val="24"/>
          <w:szCs w:val="24"/>
        </w:rPr>
        <w:t xml:space="preserve"> </w:t>
      </w:r>
      <w:r>
        <w:rPr>
          <w:rFonts w:ascii="Times New Roman" w:hAnsi="Times New Roman" w:cs="Times New Roman"/>
          <w:sz w:val="24"/>
          <w:szCs w:val="24"/>
        </w:rPr>
        <w:t>against SARS-CoV-2</w:t>
      </w:r>
      <w:r w:rsidRPr="0087032F">
        <w:rPr>
          <w:rFonts w:ascii="Times New Roman" w:hAnsi="Times New Roman" w:cs="Times New Roman"/>
          <w:sz w:val="24"/>
          <w:szCs w:val="24"/>
        </w:rPr>
        <w:t>, indicating that almost all residents of NUHDSS had antibodies due to natural infection, vaccination, or both. The preval</w:t>
      </w:r>
      <w:r>
        <w:rPr>
          <w:rFonts w:ascii="Times New Roman" w:hAnsi="Times New Roman" w:cs="Times New Roman"/>
          <w:sz w:val="24"/>
          <w:szCs w:val="24"/>
        </w:rPr>
        <w:t>ence of SARS-CoV-2 antibodies was analys</w:t>
      </w:r>
      <w:r w:rsidRPr="0087032F">
        <w:rPr>
          <w:rFonts w:ascii="Times New Roman" w:hAnsi="Times New Roman" w:cs="Times New Roman"/>
          <w:sz w:val="24"/>
          <w:szCs w:val="24"/>
        </w:rPr>
        <w:t xml:space="preserve">ed </w:t>
      </w:r>
      <w:r>
        <w:rPr>
          <w:rFonts w:ascii="Times New Roman" w:hAnsi="Times New Roman" w:cs="Times New Roman"/>
          <w:sz w:val="24"/>
          <w:szCs w:val="24"/>
        </w:rPr>
        <w:t>by place of residence (slum)</w:t>
      </w:r>
      <w:r w:rsidRPr="0087032F">
        <w:rPr>
          <w:rFonts w:ascii="Times New Roman" w:hAnsi="Times New Roman" w:cs="Times New Roman"/>
          <w:sz w:val="24"/>
          <w:szCs w:val="24"/>
        </w:rPr>
        <w:t xml:space="preserve">, age, and gender. Viwandani had a higher overall prevalence of </w:t>
      </w:r>
      <w:r>
        <w:rPr>
          <w:rFonts w:ascii="Times New Roman" w:hAnsi="Times New Roman" w:cs="Times New Roman"/>
          <w:sz w:val="24"/>
          <w:szCs w:val="24"/>
        </w:rPr>
        <w:t>SARS-CoV-2</w:t>
      </w:r>
      <w:r w:rsidRPr="0087032F">
        <w:rPr>
          <w:rFonts w:ascii="Times New Roman" w:hAnsi="Times New Roman" w:cs="Times New Roman"/>
          <w:sz w:val="24"/>
          <w:szCs w:val="24"/>
        </w:rPr>
        <w:t xml:space="preserve"> antibodies (95.5%) compared to Korogocho (87.2%). Figure 2 illustrates the seroprevalence of different age groups in Viwandani and Korogocho, showing the lowest prevalence among people under 15 years old. Conversely, all participants aged 65 years and above tested positive for </w:t>
      </w:r>
      <w:r>
        <w:rPr>
          <w:rFonts w:ascii="Times New Roman" w:hAnsi="Times New Roman" w:cs="Times New Roman"/>
          <w:sz w:val="24"/>
          <w:szCs w:val="24"/>
        </w:rPr>
        <w:t>SARS-CoV-2</w:t>
      </w:r>
      <w:r w:rsidRPr="0087032F">
        <w:rPr>
          <w:rFonts w:ascii="Times New Roman" w:hAnsi="Times New Roman" w:cs="Times New Roman"/>
          <w:sz w:val="24"/>
          <w:szCs w:val="24"/>
        </w:rPr>
        <w:t xml:space="preserve"> antibodies</w:t>
      </w:r>
      <w:r>
        <w:rPr>
          <w:rFonts w:ascii="Times New Roman" w:hAnsi="Times New Roman" w:cs="Times New Roman"/>
          <w:sz w:val="24"/>
          <w:szCs w:val="24"/>
        </w:rPr>
        <w:t>.</w:t>
      </w:r>
    </w:p>
    <w:p w:rsidR="00B01217" w:rsidRPr="00D47991" w:rsidRDefault="00B01217" w:rsidP="00B01217">
      <w:pPr>
        <w:jc w:val="both"/>
        <w:rPr>
          <w:rFonts w:ascii="Times New Roman" w:hAnsi="Times New Roman" w:cs="Times New Roman"/>
          <w:sz w:val="24"/>
          <w:szCs w:val="24"/>
          <w:lang w:val="en-US"/>
        </w:rPr>
      </w:pPr>
      <w:r>
        <w:rPr>
          <w:noProof/>
          <w:lang w:val="en-US" w:eastAsia="en-US"/>
        </w:rPr>
        <w:lastRenderedPageBreak/>
        <w:drawing>
          <wp:inline distT="0" distB="0" distL="0" distR="0" wp14:anchorId="303804A1" wp14:editId="70166256">
            <wp:extent cx="5702300" cy="30353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01217" w:rsidRPr="007E01C2" w:rsidRDefault="00B01217" w:rsidP="00B01217">
      <w:pPr>
        <w:pStyle w:val="Caption"/>
        <w:rPr>
          <w:rFonts w:ascii="Times New Roman" w:hAnsi="Times New Roman" w:cs="Times New Roman"/>
          <w:i w:val="0"/>
          <w:color w:val="auto"/>
          <w:sz w:val="24"/>
          <w:szCs w:val="24"/>
        </w:rPr>
      </w:pPr>
      <w:bookmarkStart w:id="49" w:name="_Toc111642672"/>
      <w:r w:rsidRPr="007E01C2">
        <w:rPr>
          <w:rFonts w:ascii="Times New Roman" w:hAnsi="Times New Roman" w:cs="Times New Roman"/>
          <w:i w:val="0"/>
          <w:color w:val="auto"/>
          <w:sz w:val="24"/>
          <w:szCs w:val="24"/>
        </w:rPr>
        <w:t xml:space="preserve">Figure </w:t>
      </w:r>
      <w:r w:rsidRPr="007E01C2">
        <w:rPr>
          <w:rFonts w:ascii="Times New Roman" w:hAnsi="Times New Roman" w:cs="Times New Roman"/>
          <w:i w:val="0"/>
          <w:color w:val="auto"/>
          <w:sz w:val="24"/>
          <w:szCs w:val="24"/>
        </w:rPr>
        <w:fldChar w:fldCharType="begin"/>
      </w:r>
      <w:r w:rsidRPr="007E01C2">
        <w:rPr>
          <w:rFonts w:ascii="Times New Roman" w:hAnsi="Times New Roman" w:cs="Times New Roman"/>
          <w:i w:val="0"/>
          <w:color w:val="auto"/>
          <w:sz w:val="24"/>
          <w:szCs w:val="24"/>
        </w:rPr>
        <w:instrText xml:space="preserve"> SEQ Figure \* ARABIC </w:instrText>
      </w:r>
      <w:r w:rsidRPr="007E01C2">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2</w:t>
      </w:r>
      <w:r w:rsidRPr="007E01C2">
        <w:rPr>
          <w:rFonts w:ascii="Times New Roman" w:hAnsi="Times New Roman" w:cs="Times New Roman"/>
          <w:i w:val="0"/>
          <w:color w:val="auto"/>
          <w:sz w:val="24"/>
          <w:szCs w:val="24"/>
        </w:rPr>
        <w:fldChar w:fldCharType="end"/>
      </w:r>
      <w:r w:rsidRPr="007E01C2">
        <w:rPr>
          <w:rFonts w:ascii="Times New Roman" w:hAnsi="Times New Roman" w:cs="Times New Roman"/>
          <w:i w:val="0"/>
          <w:color w:val="auto"/>
          <w:sz w:val="24"/>
          <w:szCs w:val="24"/>
        </w:rPr>
        <w:t>. Prevalence of SARS</w:t>
      </w:r>
      <w:r>
        <w:rPr>
          <w:rFonts w:ascii="Times New Roman" w:hAnsi="Times New Roman" w:cs="Times New Roman"/>
          <w:i w:val="0"/>
          <w:color w:val="auto"/>
          <w:sz w:val="24"/>
          <w:szCs w:val="24"/>
        </w:rPr>
        <w:t>-</w:t>
      </w:r>
      <w:r w:rsidRPr="007E01C2">
        <w:rPr>
          <w:rFonts w:ascii="Times New Roman" w:hAnsi="Times New Roman" w:cs="Times New Roman"/>
          <w:i w:val="0"/>
          <w:color w:val="auto"/>
          <w:sz w:val="24"/>
          <w:szCs w:val="24"/>
        </w:rPr>
        <w:t>CoV-2 antibodies by age and residence</w:t>
      </w:r>
      <w:bookmarkEnd w:id="49"/>
    </w:p>
    <w:p w:rsidR="00B01217" w:rsidRPr="006F4C4C" w:rsidRDefault="00B01217" w:rsidP="00B01217">
      <w:pPr>
        <w:spacing w:line="360" w:lineRule="auto"/>
        <w:rPr>
          <w:rFonts w:ascii="Times New Roman" w:hAnsi="Times New Roman" w:cs="Times New Roman"/>
          <w:sz w:val="24"/>
          <w:szCs w:val="24"/>
        </w:rPr>
      </w:pPr>
      <w:r w:rsidRPr="006F4C4C">
        <w:rPr>
          <w:rFonts w:ascii="Times New Roman" w:hAnsi="Times New Roman" w:cs="Times New Roman"/>
          <w:sz w:val="24"/>
          <w:szCs w:val="24"/>
        </w:rPr>
        <w:t>In general, both males and females exhibited a si</w:t>
      </w:r>
      <w:r>
        <w:rPr>
          <w:rFonts w:ascii="Times New Roman" w:hAnsi="Times New Roman" w:cs="Times New Roman"/>
          <w:sz w:val="24"/>
          <w:szCs w:val="24"/>
        </w:rPr>
        <w:t>milar</w:t>
      </w:r>
      <w:r w:rsidRPr="006F4C4C">
        <w:rPr>
          <w:rFonts w:ascii="Times New Roman" w:hAnsi="Times New Roman" w:cs="Times New Roman"/>
          <w:sz w:val="24"/>
          <w:szCs w:val="24"/>
        </w:rPr>
        <w:t xml:space="preserve"> likelihood of being exposed to SARS-CoV-2 infection from the two slums, as illustrated in Figure 3.</w:t>
      </w:r>
    </w:p>
    <w:p w:rsidR="00B01217" w:rsidRPr="00ED5937" w:rsidRDefault="00B01217" w:rsidP="00B01217">
      <w:pPr>
        <w:jc w:val="both"/>
      </w:pPr>
      <w:r w:rsidRPr="00A429C8">
        <w:rPr>
          <w:rFonts w:ascii="Times New Roman" w:hAnsi="Times New Roman" w:cs="Times New Roman"/>
          <w:noProof/>
          <w:sz w:val="24"/>
          <w:szCs w:val="24"/>
          <w:lang w:val="en-US" w:eastAsia="en-US"/>
        </w:rPr>
        <w:drawing>
          <wp:inline distT="0" distB="0" distL="0" distR="0" wp14:anchorId="25C772E2" wp14:editId="6F8F0278">
            <wp:extent cx="5454650" cy="3470275"/>
            <wp:effectExtent l="0" t="0" r="12700" b="158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01217" w:rsidRDefault="00B01217" w:rsidP="00B01217">
      <w:pPr>
        <w:pStyle w:val="Caption"/>
        <w:rPr>
          <w:rFonts w:ascii="Times New Roman" w:hAnsi="Times New Roman" w:cs="Times New Roman"/>
          <w:i w:val="0"/>
          <w:color w:val="auto"/>
          <w:sz w:val="24"/>
          <w:szCs w:val="24"/>
        </w:rPr>
      </w:pPr>
      <w:bookmarkStart w:id="50" w:name="_Toc111642673"/>
      <w:r w:rsidRPr="007E01C2">
        <w:rPr>
          <w:rFonts w:ascii="Times New Roman" w:hAnsi="Times New Roman" w:cs="Times New Roman"/>
          <w:i w:val="0"/>
          <w:color w:val="auto"/>
          <w:sz w:val="24"/>
          <w:szCs w:val="24"/>
        </w:rPr>
        <w:t xml:space="preserve">Figure </w:t>
      </w:r>
      <w:r w:rsidRPr="007E01C2">
        <w:rPr>
          <w:rFonts w:ascii="Times New Roman" w:hAnsi="Times New Roman" w:cs="Times New Roman"/>
          <w:i w:val="0"/>
          <w:color w:val="auto"/>
          <w:sz w:val="24"/>
          <w:szCs w:val="24"/>
        </w:rPr>
        <w:fldChar w:fldCharType="begin"/>
      </w:r>
      <w:r w:rsidRPr="007E01C2">
        <w:rPr>
          <w:rFonts w:ascii="Times New Roman" w:hAnsi="Times New Roman" w:cs="Times New Roman"/>
          <w:i w:val="0"/>
          <w:color w:val="auto"/>
          <w:sz w:val="24"/>
          <w:szCs w:val="24"/>
        </w:rPr>
        <w:instrText xml:space="preserve"> SEQ Figure \* ARABIC </w:instrText>
      </w:r>
      <w:r w:rsidRPr="007E01C2">
        <w:rPr>
          <w:rFonts w:ascii="Times New Roman" w:hAnsi="Times New Roman" w:cs="Times New Roman"/>
          <w:i w:val="0"/>
          <w:color w:val="auto"/>
          <w:sz w:val="24"/>
          <w:szCs w:val="24"/>
        </w:rPr>
        <w:fldChar w:fldCharType="separate"/>
      </w:r>
      <w:r>
        <w:rPr>
          <w:rFonts w:ascii="Times New Roman" w:hAnsi="Times New Roman" w:cs="Times New Roman"/>
          <w:i w:val="0"/>
          <w:noProof/>
          <w:color w:val="auto"/>
          <w:sz w:val="24"/>
          <w:szCs w:val="24"/>
        </w:rPr>
        <w:t>3</w:t>
      </w:r>
      <w:r w:rsidRPr="007E01C2">
        <w:rPr>
          <w:rFonts w:ascii="Times New Roman" w:hAnsi="Times New Roman" w:cs="Times New Roman"/>
          <w:i w:val="0"/>
          <w:color w:val="auto"/>
          <w:sz w:val="24"/>
          <w:szCs w:val="24"/>
        </w:rPr>
        <w:fldChar w:fldCharType="end"/>
      </w:r>
      <w:r w:rsidRPr="007E01C2">
        <w:rPr>
          <w:rFonts w:ascii="Times New Roman" w:hAnsi="Times New Roman" w:cs="Times New Roman"/>
          <w:i w:val="0"/>
          <w:color w:val="auto"/>
          <w:sz w:val="24"/>
          <w:szCs w:val="24"/>
        </w:rPr>
        <w:t>.  Prevalence of SARS CoV-2 by gender and residence</w:t>
      </w:r>
      <w:bookmarkEnd w:id="50"/>
    </w:p>
    <w:p w:rsidR="00B01217" w:rsidRDefault="00B01217" w:rsidP="00B01217"/>
    <w:p w:rsidR="00B01217" w:rsidRDefault="00B01217" w:rsidP="00B01217"/>
    <w:p w:rsidR="00B01217" w:rsidRDefault="00B01217" w:rsidP="00B01217"/>
    <w:p w:rsidR="00B01217" w:rsidRPr="006B0E5C" w:rsidRDefault="00B01217" w:rsidP="00B01217">
      <w:pPr>
        <w:pStyle w:val="Heading2"/>
        <w:rPr>
          <w:rFonts w:ascii="Times New Roman" w:hAnsi="Times New Roman" w:cs="Times New Roman"/>
          <w:sz w:val="24"/>
          <w:szCs w:val="24"/>
        </w:rPr>
      </w:pPr>
      <w:r w:rsidRPr="006B0E5C">
        <w:rPr>
          <w:rFonts w:ascii="Times New Roman" w:hAnsi="Times New Roman" w:cs="Times New Roman"/>
          <w:sz w:val="24"/>
          <w:szCs w:val="24"/>
        </w:rPr>
        <w:lastRenderedPageBreak/>
        <w:t>3.</w:t>
      </w:r>
      <w:r>
        <w:rPr>
          <w:rFonts w:ascii="Times New Roman" w:hAnsi="Times New Roman" w:cs="Times New Roman"/>
          <w:sz w:val="24"/>
          <w:szCs w:val="24"/>
        </w:rPr>
        <w:t>3</w:t>
      </w:r>
      <w:r w:rsidRPr="006B0E5C">
        <w:rPr>
          <w:rFonts w:ascii="Times New Roman" w:hAnsi="Times New Roman" w:cs="Times New Roman"/>
          <w:sz w:val="24"/>
          <w:szCs w:val="24"/>
        </w:rPr>
        <w:t xml:space="preserve"> COVID-19 Vaccination </w:t>
      </w:r>
    </w:p>
    <w:p w:rsidR="00B01217" w:rsidRDefault="00B01217" w:rsidP="00B01217">
      <w:pPr>
        <w:spacing w:line="360" w:lineRule="auto"/>
        <w:jc w:val="both"/>
        <w:rPr>
          <w:rFonts w:ascii="Times New Roman" w:hAnsi="Times New Roman" w:cs="Times New Roman"/>
          <w:sz w:val="24"/>
          <w:szCs w:val="24"/>
        </w:rPr>
      </w:pPr>
      <w:r w:rsidRPr="00987CB4">
        <w:rPr>
          <w:rFonts w:ascii="Times New Roman" w:hAnsi="Times New Roman" w:cs="Times New Roman"/>
          <w:sz w:val="24"/>
          <w:szCs w:val="24"/>
        </w:rPr>
        <w:t>We enquired about the vaccination status of the participants regarding COVID-19. We found that 42.2% of eligible residents</w:t>
      </w:r>
      <w:r>
        <w:rPr>
          <w:rFonts w:ascii="Times New Roman" w:hAnsi="Times New Roman" w:cs="Times New Roman"/>
          <w:sz w:val="24"/>
          <w:szCs w:val="24"/>
        </w:rPr>
        <w:t xml:space="preserve"> (15 years and above)</w:t>
      </w:r>
      <w:r w:rsidRPr="00987CB4">
        <w:rPr>
          <w:rFonts w:ascii="Times New Roman" w:hAnsi="Times New Roman" w:cs="Times New Roman"/>
          <w:sz w:val="24"/>
          <w:szCs w:val="24"/>
        </w:rPr>
        <w:t xml:space="preserve"> at both locations had received complete vaccination, while an additional 7.4% had received partial vaccination. The remaining 50.4% of the population were unvaccinated. The proportion of fully vaccinated individuals was greater in Viwandani (65.5%) compared to Korogocho (34.5%). We have presented a summary of the prevalence of SARS-COV-2 antibodies by residence and vaccination status in Figure </w:t>
      </w:r>
      <w:r>
        <w:rPr>
          <w:rFonts w:ascii="Times New Roman" w:hAnsi="Times New Roman" w:cs="Times New Roman"/>
          <w:sz w:val="24"/>
          <w:szCs w:val="24"/>
        </w:rPr>
        <w:t>4</w:t>
      </w:r>
      <w:r w:rsidRPr="00987CB4">
        <w:rPr>
          <w:rFonts w:ascii="Times New Roman" w:hAnsi="Times New Roman" w:cs="Times New Roman"/>
          <w:sz w:val="24"/>
          <w:szCs w:val="24"/>
        </w:rPr>
        <w:t xml:space="preserve">. We found that the prevalence of </w:t>
      </w:r>
      <w:r>
        <w:rPr>
          <w:rFonts w:ascii="Times New Roman" w:hAnsi="Times New Roman" w:cs="Times New Roman"/>
          <w:sz w:val="24"/>
          <w:szCs w:val="24"/>
        </w:rPr>
        <w:t>SARS-CoV-2</w:t>
      </w:r>
      <w:r w:rsidRPr="00987CB4">
        <w:rPr>
          <w:rFonts w:ascii="Times New Roman" w:hAnsi="Times New Roman" w:cs="Times New Roman"/>
          <w:sz w:val="24"/>
          <w:szCs w:val="24"/>
        </w:rPr>
        <w:t xml:space="preserve"> antibodies was</w:t>
      </w:r>
      <w:r>
        <w:rPr>
          <w:rFonts w:ascii="Times New Roman" w:hAnsi="Times New Roman" w:cs="Times New Roman"/>
          <w:sz w:val="24"/>
          <w:szCs w:val="24"/>
        </w:rPr>
        <w:t xml:space="preserve"> slightly</w:t>
      </w:r>
      <w:r w:rsidRPr="00987CB4">
        <w:rPr>
          <w:rFonts w:ascii="Times New Roman" w:hAnsi="Times New Roman" w:cs="Times New Roman"/>
          <w:sz w:val="24"/>
          <w:szCs w:val="24"/>
        </w:rPr>
        <w:t xml:space="preserve"> highe</w:t>
      </w:r>
      <w:r>
        <w:rPr>
          <w:rFonts w:ascii="Times New Roman" w:hAnsi="Times New Roman" w:cs="Times New Roman"/>
          <w:sz w:val="24"/>
          <w:szCs w:val="24"/>
        </w:rPr>
        <w:t>r</w:t>
      </w:r>
      <w:r w:rsidRPr="00987CB4">
        <w:rPr>
          <w:rFonts w:ascii="Times New Roman" w:hAnsi="Times New Roman" w:cs="Times New Roman"/>
          <w:sz w:val="24"/>
          <w:szCs w:val="24"/>
        </w:rPr>
        <w:t xml:space="preserve"> among fully vaccinated individuals (98%), with this being true for both Korogocho (99%) and Viwandani (98%).</w:t>
      </w:r>
    </w:p>
    <w:p w:rsidR="00B01217" w:rsidRPr="00987CB4" w:rsidRDefault="00B01217" w:rsidP="00B01217">
      <w:pPr>
        <w:spacing w:line="360" w:lineRule="auto"/>
        <w:jc w:val="both"/>
        <w:rPr>
          <w:rFonts w:ascii="Times New Roman" w:hAnsi="Times New Roman" w:cs="Times New Roman"/>
          <w:sz w:val="24"/>
          <w:szCs w:val="24"/>
        </w:rPr>
      </w:pPr>
      <w:r>
        <w:rPr>
          <w:noProof/>
          <w:lang w:val="en-US" w:eastAsia="en-US"/>
        </w:rPr>
        <w:drawing>
          <wp:inline distT="0" distB="0" distL="0" distR="0" wp14:anchorId="32F257E3" wp14:editId="16227842">
            <wp:extent cx="5632450" cy="2743200"/>
            <wp:effectExtent l="0" t="0" r="635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01217" w:rsidRPr="00FE287D" w:rsidRDefault="00B01217" w:rsidP="00B01217">
      <w:pPr>
        <w:pStyle w:val="Caption"/>
      </w:pPr>
      <w:r w:rsidRPr="007E01C2">
        <w:rPr>
          <w:rFonts w:ascii="Times New Roman" w:hAnsi="Times New Roman" w:cs="Times New Roman"/>
          <w:i w:val="0"/>
          <w:color w:val="auto"/>
          <w:sz w:val="24"/>
          <w:szCs w:val="24"/>
        </w:rPr>
        <w:t xml:space="preserve">Figure </w:t>
      </w:r>
      <w:r>
        <w:rPr>
          <w:rFonts w:ascii="Times New Roman" w:hAnsi="Times New Roman" w:cs="Times New Roman"/>
          <w:i w:val="0"/>
          <w:color w:val="auto"/>
          <w:sz w:val="24"/>
          <w:szCs w:val="24"/>
        </w:rPr>
        <w:t>4</w:t>
      </w:r>
      <w:r w:rsidRPr="007E01C2">
        <w:rPr>
          <w:rFonts w:ascii="Times New Roman" w:hAnsi="Times New Roman" w:cs="Times New Roman"/>
          <w:i w:val="0"/>
          <w:color w:val="auto"/>
          <w:sz w:val="24"/>
          <w:szCs w:val="24"/>
        </w:rPr>
        <w:t>. Prevalence of SAR-COV-2 antibodies by vaccination status and place of residence</w:t>
      </w:r>
      <w:r>
        <w:rPr>
          <w:rFonts w:ascii="Times New Roman" w:hAnsi="Times New Roman" w:cs="Times New Roman"/>
          <w:i w:val="0"/>
          <w:color w:val="auto"/>
          <w:sz w:val="24"/>
          <w:szCs w:val="24"/>
        </w:rPr>
        <w:t>.</w:t>
      </w:r>
    </w:p>
    <w:p w:rsidR="00B01217" w:rsidRDefault="00B01217" w:rsidP="00B01217">
      <w:pPr>
        <w:pStyle w:val="Heading2"/>
        <w:spacing w:line="360" w:lineRule="auto"/>
        <w:rPr>
          <w:rFonts w:ascii="Times New Roman" w:hAnsi="Times New Roman" w:cs="Times New Roman"/>
          <w:sz w:val="24"/>
          <w:szCs w:val="24"/>
        </w:rPr>
      </w:pPr>
      <w:bookmarkStart w:id="51" w:name="_Toc112709835"/>
      <w:r w:rsidRPr="006B0E5C">
        <w:rPr>
          <w:rFonts w:ascii="Times New Roman" w:hAnsi="Times New Roman" w:cs="Times New Roman"/>
          <w:sz w:val="24"/>
          <w:szCs w:val="24"/>
        </w:rPr>
        <w:t>3.</w:t>
      </w:r>
      <w:r>
        <w:rPr>
          <w:rFonts w:ascii="Times New Roman" w:hAnsi="Times New Roman" w:cs="Times New Roman"/>
          <w:sz w:val="24"/>
          <w:szCs w:val="24"/>
        </w:rPr>
        <w:t>4</w:t>
      </w:r>
      <w:r w:rsidRPr="006B0E5C">
        <w:rPr>
          <w:rFonts w:ascii="Times New Roman" w:hAnsi="Times New Roman" w:cs="Times New Roman"/>
          <w:sz w:val="24"/>
          <w:szCs w:val="24"/>
        </w:rPr>
        <w:t xml:space="preserve"> Perception of Risk of acquiring SARS CoV-2</w:t>
      </w:r>
      <w:bookmarkEnd w:id="51"/>
    </w:p>
    <w:p w:rsidR="00B01217" w:rsidRPr="00FE287D" w:rsidRDefault="00B01217" w:rsidP="00B01217">
      <w:pPr>
        <w:spacing w:line="360" w:lineRule="auto"/>
        <w:rPr>
          <w:rFonts w:ascii="Times New Roman" w:hAnsi="Times New Roman" w:cs="Times New Roman"/>
          <w:b/>
          <w:i/>
        </w:rPr>
      </w:pPr>
      <w:r w:rsidRPr="00FE287D">
        <w:rPr>
          <w:rFonts w:ascii="Times New Roman" w:hAnsi="Times New Roman" w:cs="Times New Roman"/>
          <w:b/>
          <w:i/>
        </w:rPr>
        <w:t>a. Risk perception of SARS CoV-2 prevalence by gender and residence </w:t>
      </w:r>
    </w:p>
    <w:p w:rsidR="00B01217" w:rsidRDefault="00B01217" w:rsidP="00B01217">
      <w:pPr>
        <w:spacing w:line="360" w:lineRule="auto"/>
        <w:jc w:val="both"/>
        <w:rPr>
          <w:rFonts w:ascii="Times New Roman" w:hAnsi="Times New Roman" w:cs="Times New Roman"/>
          <w:sz w:val="24"/>
          <w:szCs w:val="24"/>
        </w:rPr>
      </w:pPr>
      <w:r w:rsidRPr="00254D6F">
        <w:rPr>
          <w:rFonts w:ascii="Times New Roman" w:hAnsi="Times New Roman" w:cs="Times New Roman"/>
          <w:sz w:val="24"/>
          <w:szCs w:val="24"/>
        </w:rPr>
        <w:t xml:space="preserve">Participants </w:t>
      </w:r>
      <w:r>
        <w:rPr>
          <w:rFonts w:ascii="Times New Roman" w:hAnsi="Times New Roman" w:cs="Times New Roman"/>
          <w:sz w:val="24"/>
          <w:szCs w:val="24"/>
        </w:rPr>
        <w:t xml:space="preserve">aged 15 years and above </w:t>
      </w:r>
      <w:r w:rsidRPr="00254D6F">
        <w:rPr>
          <w:rFonts w:ascii="Times New Roman" w:hAnsi="Times New Roman" w:cs="Times New Roman"/>
          <w:sz w:val="24"/>
          <w:szCs w:val="24"/>
        </w:rPr>
        <w:t xml:space="preserve">were asked to evaluate their risk of being infected with SARS-CoV-2. </w:t>
      </w:r>
      <w:r>
        <w:rPr>
          <w:rFonts w:ascii="Times New Roman" w:hAnsi="Times New Roman" w:cs="Times New Roman"/>
          <w:sz w:val="24"/>
          <w:szCs w:val="24"/>
        </w:rPr>
        <w:t>A</w:t>
      </w:r>
      <w:r w:rsidRPr="00254D6F">
        <w:rPr>
          <w:rFonts w:ascii="Times New Roman" w:hAnsi="Times New Roman" w:cs="Times New Roman"/>
          <w:sz w:val="24"/>
          <w:szCs w:val="24"/>
        </w:rPr>
        <w:t>pproximately 3</w:t>
      </w:r>
      <w:r>
        <w:rPr>
          <w:rFonts w:ascii="Times New Roman" w:hAnsi="Times New Roman" w:cs="Times New Roman"/>
          <w:sz w:val="24"/>
          <w:szCs w:val="24"/>
        </w:rPr>
        <w:t>7</w:t>
      </w:r>
      <w:r w:rsidRPr="00254D6F">
        <w:rPr>
          <w:rFonts w:ascii="Times New Roman" w:hAnsi="Times New Roman" w:cs="Times New Roman"/>
          <w:sz w:val="24"/>
          <w:szCs w:val="24"/>
        </w:rPr>
        <w:t xml:space="preserve">% reported </w:t>
      </w:r>
      <w:r>
        <w:rPr>
          <w:rFonts w:ascii="Times New Roman" w:hAnsi="Times New Roman" w:cs="Times New Roman"/>
          <w:sz w:val="24"/>
          <w:szCs w:val="24"/>
        </w:rPr>
        <w:t xml:space="preserve">their </w:t>
      </w:r>
      <w:r w:rsidRPr="00254D6F">
        <w:rPr>
          <w:rFonts w:ascii="Times New Roman" w:hAnsi="Times New Roman" w:cs="Times New Roman"/>
          <w:sz w:val="24"/>
          <w:szCs w:val="24"/>
        </w:rPr>
        <w:t xml:space="preserve">chance of acquiring </w:t>
      </w:r>
      <w:r>
        <w:rPr>
          <w:rFonts w:ascii="Times New Roman" w:hAnsi="Times New Roman" w:cs="Times New Roman"/>
          <w:sz w:val="24"/>
          <w:szCs w:val="24"/>
        </w:rPr>
        <w:t>SARS-CoV-2 as nil</w:t>
      </w:r>
      <w:r w:rsidRPr="00254D6F">
        <w:rPr>
          <w:rFonts w:ascii="Times New Roman" w:hAnsi="Times New Roman" w:cs="Times New Roman"/>
          <w:sz w:val="24"/>
          <w:szCs w:val="24"/>
        </w:rPr>
        <w:t xml:space="preserve">. However, almost all (94%) of those who reported zero risk </w:t>
      </w:r>
      <w:r>
        <w:rPr>
          <w:rFonts w:ascii="Times New Roman" w:hAnsi="Times New Roman" w:cs="Times New Roman"/>
          <w:sz w:val="24"/>
          <w:szCs w:val="24"/>
        </w:rPr>
        <w:t xml:space="preserve">of contracting SARS-CoV-2 </w:t>
      </w:r>
      <w:r w:rsidRPr="00254D6F">
        <w:rPr>
          <w:rFonts w:ascii="Times New Roman" w:hAnsi="Times New Roman" w:cs="Times New Roman"/>
          <w:sz w:val="24"/>
          <w:szCs w:val="24"/>
        </w:rPr>
        <w:t xml:space="preserve">had </w:t>
      </w:r>
      <w:r w:rsidRPr="00254D6F">
        <w:rPr>
          <w:rFonts w:ascii="Times New Roman" w:hAnsi="Times New Roman" w:cs="Times New Roman"/>
          <w:sz w:val="24"/>
          <w:szCs w:val="24"/>
        </w:rPr>
        <w:lastRenderedPageBreak/>
        <w:t>antibodies</w:t>
      </w:r>
      <w:r>
        <w:rPr>
          <w:rFonts w:ascii="Times New Roman" w:hAnsi="Times New Roman" w:cs="Times New Roman"/>
          <w:sz w:val="24"/>
          <w:szCs w:val="24"/>
        </w:rPr>
        <w:t xml:space="preserve"> compared to 6% who tested negative as shown in figure 5.</w:t>
      </w:r>
      <w:r w:rsidRPr="00254D6F">
        <w:rPr>
          <w:rFonts w:ascii="Times New Roman" w:hAnsi="Times New Roman" w:cs="Times New Roman"/>
          <w:sz w:val="24"/>
          <w:szCs w:val="24"/>
        </w:rPr>
        <w:t xml:space="preserve"> </w:t>
      </w:r>
      <w:r>
        <w:rPr>
          <w:noProof/>
          <w:lang w:val="en-US" w:eastAsia="en-US"/>
        </w:rPr>
        <w:drawing>
          <wp:inline distT="0" distB="0" distL="0" distR="0" wp14:anchorId="436C38D2" wp14:editId="29CC96A6">
            <wp:extent cx="5568950" cy="2584450"/>
            <wp:effectExtent l="0" t="0" r="12700" b="63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01217" w:rsidRDefault="00B01217" w:rsidP="00B01217">
      <w:pPr>
        <w:pStyle w:val="Caption"/>
        <w:rPr>
          <w:rFonts w:ascii="Times New Roman" w:hAnsi="Times New Roman" w:cs="Times New Roman"/>
          <w:i w:val="0"/>
          <w:color w:val="auto"/>
          <w:sz w:val="24"/>
          <w:szCs w:val="24"/>
        </w:rPr>
      </w:pPr>
      <w:r w:rsidRPr="007E01C2">
        <w:rPr>
          <w:rFonts w:ascii="Times New Roman" w:hAnsi="Times New Roman" w:cs="Times New Roman"/>
          <w:i w:val="0"/>
          <w:color w:val="auto"/>
          <w:sz w:val="24"/>
          <w:szCs w:val="24"/>
        </w:rPr>
        <w:t>Figure</w:t>
      </w:r>
      <w:r>
        <w:rPr>
          <w:rFonts w:ascii="Times New Roman" w:hAnsi="Times New Roman" w:cs="Times New Roman"/>
          <w:i w:val="0"/>
          <w:color w:val="auto"/>
          <w:sz w:val="24"/>
          <w:szCs w:val="24"/>
        </w:rPr>
        <w:t xml:space="preserve"> 5</w:t>
      </w:r>
      <w:r w:rsidRPr="007E01C2">
        <w:rPr>
          <w:rFonts w:ascii="Times New Roman" w:hAnsi="Times New Roman" w:cs="Times New Roman"/>
          <w:i w:val="0"/>
          <w:color w:val="auto"/>
          <w:sz w:val="24"/>
          <w:szCs w:val="24"/>
        </w:rPr>
        <w:t>.  Prevalence of SARS CoV-2</w:t>
      </w:r>
      <w:r>
        <w:rPr>
          <w:rFonts w:ascii="Times New Roman" w:hAnsi="Times New Roman" w:cs="Times New Roman"/>
          <w:i w:val="0"/>
          <w:color w:val="auto"/>
          <w:sz w:val="24"/>
          <w:szCs w:val="24"/>
        </w:rPr>
        <w:t xml:space="preserve"> antibodies among for those who reported nil risk</w:t>
      </w:r>
    </w:p>
    <w:p w:rsidR="00B01217" w:rsidRPr="00A429C8" w:rsidRDefault="00B01217" w:rsidP="00B01217"/>
    <w:p w:rsidR="00B01217" w:rsidRDefault="00B01217" w:rsidP="00B01217">
      <w:pPr>
        <w:spacing w:line="360" w:lineRule="auto"/>
        <w:jc w:val="both"/>
        <w:rPr>
          <w:rFonts w:ascii="Times New Roman" w:hAnsi="Times New Roman" w:cs="Times New Roman"/>
          <w:sz w:val="24"/>
          <w:szCs w:val="24"/>
        </w:rPr>
      </w:pPr>
      <w:r>
        <w:rPr>
          <w:rFonts w:ascii="Times New Roman" w:hAnsi="Times New Roman" w:cs="Times New Roman"/>
          <w:sz w:val="24"/>
          <w:szCs w:val="24"/>
        </w:rPr>
        <w:t>Comparing prevalence of SARS-CoV-2 antibodies by residence and gender, the percentage was higher (40%) among male participants from Korogocho as shown in Figure 6 below.</w:t>
      </w:r>
    </w:p>
    <w:p w:rsidR="00B01217" w:rsidRDefault="00B01217" w:rsidP="00B01217">
      <w:pPr>
        <w:spacing w:line="360" w:lineRule="auto"/>
        <w:jc w:val="both"/>
        <w:rPr>
          <w:rFonts w:ascii="Times New Roman" w:hAnsi="Times New Roman" w:cs="Times New Roman"/>
          <w:sz w:val="24"/>
          <w:szCs w:val="24"/>
        </w:rPr>
      </w:pPr>
    </w:p>
    <w:p w:rsidR="00B01217" w:rsidRPr="006B0E5C" w:rsidRDefault="00B01217" w:rsidP="00B01217">
      <w:pPr>
        <w:spacing w:line="360" w:lineRule="auto"/>
        <w:jc w:val="both"/>
        <w:rPr>
          <w:rFonts w:ascii="Times New Roman" w:hAnsi="Times New Roman" w:cs="Times New Roman"/>
          <w:sz w:val="24"/>
          <w:szCs w:val="24"/>
        </w:rPr>
      </w:pPr>
      <w:r>
        <w:rPr>
          <w:noProof/>
          <w:lang w:val="en-US" w:eastAsia="en-US"/>
        </w:rPr>
        <w:drawing>
          <wp:inline distT="0" distB="0" distL="0" distR="0" wp14:anchorId="77C7E186" wp14:editId="4A23BEB3">
            <wp:extent cx="5537200" cy="3289300"/>
            <wp:effectExtent l="0" t="0" r="6350"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01217" w:rsidRDefault="00B01217" w:rsidP="00B01217">
      <w:pPr>
        <w:pStyle w:val="Caption"/>
        <w:rPr>
          <w:rFonts w:ascii="Times New Roman" w:hAnsi="Times New Roman" w:cs="Times New Roman"/>
          <w:i w:val="0"/>
          <w:color w:val="auto"/>
          <w:sz w:val="24"/>
          <w:szCs w:val="24"/>
        </w:rPr>
      </w:pPr>
      <w:bookmarkStart w:id="52" w:name="_Toc111642674"/>
      <w:r w:rsidRPr="007E01C2">
        <w:rPr>
          <w:rFonts w:ascii="Times New Roman" w:hAnsi="Times New Roman" w:cs="Times New Roman"/>
          <w:i w:val="0"/>
          <w:color w:val="auto"/>
          <w:sz w:val="24"/>
          <w:szCs w:val="24"/>
        </w:rPr>
        <w:t>Figure</w:t>
      </w:r>
      <w:r>
        <w:rPr>
          <w:rFonts w:ascii="Times New Roman" w:hAnsi="Times New Roman" w:cs="Times New Roman"/>
          <w:i w:val="0"/>
          <w:color w:val="auto"/>
          <w:sz w:val="24"/>
          <w:szCs w:val="24"/>
        </w:rPr>
        <w:t xml:space="preserve"> 6</w:t>
      </w:r>
      <w:r w:rsidRPr="007E01C2">
        <w:rPr>
          <w:rFonts w:ascii="Times New Roman" w:hAnsi="Times New Roman" w:cs="Times New Roman"/>
          <w:i w:val="0"/>
          <w:color w:val="auto"/>
          <w:sz w:val="24"/>
          <w:szCs w:val="24"/>
        </w:rPr>
        <w:t>. Risk perception and SARS</w:t>
      </w:r>
      <w:r>
        <w:rPr>
          <w:rFonts w:ascii="Times New Roman" w:hAnsi="Times New Roman" w:cs="Times New Roman"/>
          <w:i w:val="0"/>
          <w:color w:val="auto"/>
          <w:sz w:val="24"/>
          <w:szCs w:val="24"/>
        </w:rPr>
        <w:t>-</w:t>
      </w:r>
      <w:r w:rsidRPr="007E01C2">
        <w:rPr>
          <w:rFonts w:ascii="Times New Roman" w:hAnsi="Times New Roman" w:cs="Times New Roman"/>
          <w:i w:val="0"/>
          <w:color w:val="auto"/>
          <w:sz w:val="24"/>
          <w:szCs w:val="24"/>
        </w:rPr>
        <w:t>CoV-2 prevalence by gender and residence</w:t>
      </w:r>
      <w:bookmarkEnd w:id="52"/>
    </w:p>
    <w:p w:rsidR="00B01217" w:rsidRDefault="00B01217" w:rsidP="00B01217">
      <w:pPr>
        <w:rPr>
          <w:rFonts w:ascii="Times New Roman" w:hAnsi="Times New Roman" w:cs="Times New Roman"/>
          <w:b/>
          <w:i/>
          <w:sz w:val="24"/>
          <w:szCs w:val="24"/>
        </w:rPr>
      </w:pPr>
    </w:p>
    <w:p w:rsidR="00B01217" w:rsidRDefault="00B01217" w:rsidP="00B01217">
      <w:pPr>
        <w:rPr>
          <w:rFonts w:ascii="Times New Roman" w:hAnsi="Times New Roman" w:cs="Times New Roman"/>
          <w:b/>
          <w:i/>
          <w:sz w:val="24"/>
          <w:szCs w:val="24"/>
        </w:rPr>
      </w:pPr>
      <w:r w:rsidRPr="00785DDC">
        <w:rPr>
          <w:rFonts w:ascii="Times New Roman" w:hAnsi="Times New Roman" w:cs="Times New Roman"/>
          <w:b/>
          <w:i/>
          <w:sz w:val="24"/>
          <w:szCs w:val="24"/>
        </w:rPr>
        <w:lastRenderedPageBreak/>
        <w:t>b. Risk perception of SARS</w:t>
      </w:r>
      <w:r>
        <w:rPr>
          <w:rFonts w:ascii="Times New Roman" w:hAnsi="Times New Roman" w:cs="Times New Roman"/>
          <w:b/>
          <w:i/>
          <w:sz w:val="24"/>
          <w:szCs w:val="24"/>
        </w:rPr>
        <w:t>-</w:t>
      </w:r>
      <w:r w:rsidRPr="00785DDC">
        <w:rPr>
          <w:rFonts w:ascii="Times New Roman" w:hAnsi="Times New Roman" w:cs="Times New Roman"/>
          <w:b/>
          <w:i/>
          <w:sz w:val="24"/>
          <w:szCs w:val="24"/>
        </w:rPr>
        <w:t>CoV-2 prevalence by age and residence </w:t>
      </w:r>
    </w:p>
    <w:p w:rsidR="00B01217" w:rsidRPr="00677CFC" w:rsidRDefault="00B01217" w:rsidP="00B01217">
      <w:pPr>
        <w:spacing w:line="360" w:lineRule="auto"/>
        <w:jc w:val="both"/>
        <w:rPr>
          <w:rFonts w:ascii="Times New Roman" w:hAnsi="Times New Roman" w:cs="Times New Roman"/>
          <w:sz w:val="24"/>
          <w:szCs w:val="24"/>
        </w:rPr>
      </w:pPr>
      <w:r w:rsidRPr="00677CFC">
        <w:rPr>
          <w:rFonts w:ascii="Times New Roman" w:hAnsi="Times New Roman" w:cs="Times New Roman"/>
          <w:sz w:val="24"/>
          <w:szCs w:val="24"/>
        </w:rPr>
        <w:t xml:space="preserve">The majority of participants from all age groups rated their risk of SARS-CoV-2 infection as low or non-existent from both sites. It is worth noting that most elderly individuals aged 65 and above who live in Viwandani believed they were not susceptible to </w:t>
      </w:r>
      <w:r>
        <w:rPr>
          <w:rFonts w:ascii="Times New Roman" w:hAnsi="Times New Roman" w:cs="Times New Roman"/>
          <w:sz w:val="24"/>
          <w:szCs w:val="24"/>
        </w:rPr>
        <w:t>SARS-CoV-2 (Figure 7)</w:t>
      </w:r>
      <w:r w:rsidRPr="00677CFC">
        <w:rPr>
          <w:rFonts w:ascii="Times New Roman" w:hAnsi="Times New Roman" w:cs="Times New Roman"/>
          <w:sz w:val="24"/>
          <w:szCs w:val="24"/>
        </w:rPr>
        <w:t xml:space="preserve">, despite all their blood samples testing positive for </w:t>
      </w:r>
      <w:r>
        <w:rPr>
          <w:rFonts w:ascii="Times New Roman" w:hAnsi="Times New Roman" w:cs="Times New Roman"/>
          <w:sz w:val="24"/>
          <w:szCs w:val="24"/>
        </w:rPr>
        <w:t>SARS-CoV-2</w:t>
      </w:r>
      <w:r w:rsidRPr="00677CFC">
        <w:rPr>
          <w:rFonts w:ascii="Times New Roman" w:hAnsi="Times New Roman" w:cs="Times New Roman"/>
          <w:sz w:val="24"/>
          <w:szCs w:val="24"/>
        </w:rPr>
        <w:t xml:space="preserve"> antibodies.</w:t>
      </w:r>
    </w:p>
    <w:p w:rsidR="00B01217" w:rsidRPr="00712950" w:rsidRDefault="00B01217" w:rsidP="00B01217">
      <w:pPr>
        <w:rPr>
          <w:rFonts w:ascii="Times New Roman" w:hAnsi="Times New Roman" w:cs="Times New Roman"/>
          <w:b/>
          <w:sz w:val="24"/>
          <w:szCs w:val="24"/>
        </w:rPr>
      </w:pPr>
      <w:r>
        <w:rPr>
          <w:noProof/>
          <w:lang w:val="en-US" w:eastAsia="en-US"/>
        </w:rPr>
        <w:drawing>
          <wp:inline distT="0" distB="0" distL="0" distR="0" wp14:anchorId="78A12A8C" wp14:editId="59EA42AE">
            <wp:extent cx="5695950" cy="2905125"/>
            <wp:effectExtent l="0" t="0" r="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01217" w:rsidRPr="00556171" w:rsidRDefault="00B01217" w:rsidP="00B01217">
      <w:pPr>
        <w:pStyle w:val="Caption"/>
        <w:rPr>
          <w:rFonts w:ascii="Times New Roman" w:hAnsi="Times New Roman" w:cs="Times New Roman"/>
          <w:i w:val="0"/>
          <w:color w:val="auto"/>
          <w:sz w:val="24"/>
          <w:szCs w:val="24"/>
        </w:rPr>
      </w:pPr>
      <w:bookmarkStart w:id="53" w:name="_Toc111642675"/>
      <w:r w:rsidRPr="007E01C2">
        <w:rPr>
          <w:rFonts w:ascii="Times New Roman" w:hAnsi="Times New Roman" w:cs="Times New Roman"/>
          <w:i w:val="0"/>
          <w:color w:val="auto"/>
          <w:sz w:val="24"/>
          <w:szCs w:val="24"/>
        </w:rPr>
        <w:t>Figure</w:t>
      </w:r>
      <w:r>
        <w:rPr>
          <w:rFonts w:ascii="Times New Roman" w:hAnsi="Times New Roman" w:cs="Times New Roman"/>
          <w:i w:val="0"/>
          <w:color w:val="auto"/>
          <w:sz w:val="24"/>
          <w:szCs w:val="24"/>
        </w:rPr>
        <w:t>7</w:t>
      </w:r>
      <w:r w:rsidRPr="007E01C2">
        <w:rPr>
          <w:rFonts w:ascii="Times New Roman" w:hAnsi="Times New Roman" w:cs="Times New Roman"/>
          <w:i w:val="0"/>
          <w:color w:val="auto"/>
          <w:sz w:val="24"/>
          <w:szCs w:val="24"/>
        </w:rPr>
        <w:t>. Risk perception and SARS CoV-2 prevalence by gender and residence</w:t>
      </w:r>
      <w:bookmarkEnd w:id="53"/>
    </w:p>
    <w:p w:rsidR="00B01217" w:rsidRPr="006B0E5C" w:rsidRDefault="00B01217" w:rsidP="00B01217">
      <w:pPr>
        <w:pStyle w:val="Heading2"/>
        <w:rPr>
          <w:rFonts w:ascii="Times New Roman" w:hAnsi="Times New Roman" w:cs="Times New Roman"/>
          <w:sz w:val="24"/>
          <w:szCs w:val="24"/>
        </w:rPr>
      </w:pPr>
      <w:bookmarkStart w:id="54" w:name="_Toc112709837"/>
      <w:r w:rsidRPr="006B0E5C">
        <w:rPr>
          <w:rFonts w:ascii="Times New Roman" w:hAnsi="Times New Roman" w:cs="Times New Roman"/>
          <w:sz w:val="24"/>
          <w:szCs w:val="24"/>
        </w:rPr>
        <w:t>3.5 Loss of Job or Income generating activity</w:t>
      </w:r>
      <w:bookmarkEnd w:id="54"/>
    </w:p>
    <w:p w:rsidR="00B01217" w:rsidRPr="00846C25" w:rsidRDefault="00B01217" w:rsidP="00B01217">
      <w:pPr>
        <w:spacing w:line="360" w:lineRule="auto"/>
        <w:jc w:val="both"/>
        <w:rPr>
          <w:rFonts w:ascii="Times New Roman" w:hAnsi="Times New Roman" w:cs="Times New Roman"/>
          <w:sz w:val="24"/>
          <w:szCs w:val="24"/>
        </w:rPr>
      </w:pPr>
      <w:r w:rsidRPr="00254D6F">
        <w:rPr>
          <w:rFonts w:ascii="Times New Roman" w:hAnsi="Times New Roman" w:cs="Times New Roman"/>
          <w:sz w:val="24"/>
          <w:szCs w:val="24"/>
        </w:rPr>
        <w:t>Around 21% of the survey participants reported</w:t>
      </w:r>
      <w:r w:rsidRPr="00846C25">
        <w:rPr>
          <w:rFonts w:ascii="Times New Roman" w:hAnsi="Times New Roman" w:cs="Times New Roman"/>
          <w:sz w:val="24"/>
          <w:szCs w:val="24"/>
        </w:rPr>
        <w:t xml:space="preserve"> that they or someone in their household had experienced a job loss or reduction in income in the past six months. Individuals from both sites were equally likely to have faced such challenges. Additionally, the prevalence of SARS-COV-2 antibodies was observed to be </w:t>
      </w:r>
      <w:r>
        <w:rPr>
          <w:rFonts w:ascii="Times New Roman" w:hAnsi="Times New Roman" w:cs="Times New Roman"/>
          <w:sz w:val="24"/>
          <w:szCs w:val="24"/>
        </w:rPr>
        <w:t xml:space="preserve">slightly </w:t>
      </w:r>
      <w:r w:rsidRPr="00846C25">
        <w:rPr>
          <w:rFonts w:ascii="Times New Roman" w:hAnsi="Times New Roman" w:cs="Times New Roman"/>
          <w:sz w:val="24"/>
          <w:szCs w:val="24"/>
        </w:rPr>
        <w:t>higher (</w:t>
      </w:r>
      <w:r>
        <w:rPr>
          <w:rFonts w:ascii="Times New Roman" w:hAnsi="Times New Roman" w:cs="Times New Roman"/>
          <w:sz w:val="24"/>
          <w:szCs w:val="24"/>
        </w:rPr>
        <w:t>92.7</w:t>
      </w:r>
      <w:r w:rsidRPr="00846C25">
        <w:rPr>
          <w:rFonts w:ascii="Times New Roman" w:hAnsi="Times New Roman" w:cs="Times New Roman"/>
          <w:sz w:val="24"/>
          <w:szCs w:val="24"/>
        </w:rPr>
        <w:t xml:space="preserve">%) among participants from households that did not experience a loss in job or income generating activities, across both sites as </w:t>
      </w:r>
      <w:r>
        <w:rPr>
          <w:rFonts w:ascii="Times New Roman" w:hAnsi="Times New Roman" w:cs="Times New Roman"/>
          <w:sz w:val="24"/>
          <w:szCs w:val="24"/>
        </w:rPr>
        <w:t>contrasted with 90.3% among participants who experienced job or income loss (Figure 8)</w:t>
      </w:r>
    </w:p>
    <w:p w:rsidR="00B01217" w:rsidRPr="0005342B" w:rsidRDefault="00B01217" w:rsidP="00B01217">
      <w:pPr>
        <w:jc w:val="both"/>
        <w:rPr>
          <w:rFonts w:ascii="Times New Roman" w:hAnsi="Times New Roman" w:cs="Times New Roman"/>
          <w:sz w:val="24"/>
          <w:szCs w:val="24"/>
          <w:lang w:val="en-US"/>
        </w:rPr>
      </w:pPr>
      <w:r>
        <w:rPr>
          <w:noProof/>
          <w:lang w:val="en-US" w:eastAsia="en-US"/>
        </w:rPr>
        <w:lastRenderedPageBreak/>
        <w:drawing>
          <wp:inline distT="0" distB="0" distL="0" distR="0" wp14:anchorId="7F8D3FE6" wp14:editId="68D951D7">
            <wp:extent cx="5759450" cy="2889250"/>
            <wp:effectExtent l="0" t="0" r="12700" b="63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05342B">
        <w:rPr>
          <w:rFonts w:ascii="Times New Roman" w:hAnsi="Times New Roman" w:cs="Times New Roman"/>
          <w:sz w:val="24"/>
          <w:szCs w:val="24"/>
          <w:lang w:val="en-US"/>
        </w:rPr>
        <w:t xml:space="preserve"> </w:t>
      </w:r>
    </w:p>
    <w:p w:rsidR="00B01217" w:rsidRPr="007E01C2" w:rsidRDefault="00B01217" w:rsidP="00B01217">
      <w:pPr>
        <w:pStyle w:val="Caption"/>
        <w:rPr>
          <w:rFonts w:ascii="Times New Roman" w:hAnsi="Times New Roman" w:cs="Times New Roman"/>
          <w:i w:val="0"/>
          <w:color w:val="auto"/>
          <w:sz w:val="24"/>
          <w:szCs w:val="24"/>
        </w:rPr>
      </w:pPr>
      <w:bookmarkStart w:id="55" w:name="_Toc111642676"/>
      <w:r w:rsidRPr="007E01C2">
        <w:rPr>
          <w:rFonts w:ascii="Times New Roman" w:hAnsi="Times New Roman" w:cs="Times New Roman"/>
          <w:i w:val="0"/>
          <w:color w:val="auto"/>
          <w:sz w:val="24"/>
          <w:szCs w:val="24"/>
        </w:rPr>
        <w:t xml:space="preserve">Figure </w:t>
      </w:r>
      <w:r>
        <w:rPr>
          <w:rFonts w:ascii="Times New Roman" w:hAnsi="Times New Roman" w:cs="Times New Roman"/>
          <w:i w:val="0"/>
          <w:color w:val="auto"/>
          <w:sz w:val="24"/>
          <w:szCs w:val="24"/>
        </w:rPr>
        <w:t>8</w:t>
      </w:r>
      <w:r w:rsidRPr="007E01C2">
        <w:rPr>
          <w:rFonts w:ascii="Times New Roman" w:hAnsi="Times New Roman" w:cs="Times New Roman"/>
          <w:i w:val="0"/>
          <w:color w:val="auto"/>
          <w:sz w:val="24"/>
          <w:szCs w:val="24"/>
        </w:rPr>
        <w:t>. Prevalence of SAR-COV-2 antibodies by work status and place of residence</w:t>
      </w:r>
      <w:bookmarkEnd w:id="55"/>
    </w:p>
    <w:p w:rsidR="00B01217" w:rsidRPr="006B0E5C" w:rsidRDefault="00B01217" w:rsidP="00B01217">
      <w:pPr>
        <w:tabs>
          <w:tab w:val="left" w:pos="450"/>
          <w:tab w:val="left" w:pos="4500"/>
        </w:tabs>
        <w:jc w:val="both"/>
        <w:rPr>
          <w:rFonts w:ascii="Times New Roman" w:hAnsi="Times New Roman" w:cs="Times New Roman"/>
          <w:sz w:val="24"/>
          <w:szCs w:val="24"/>
          <w:lang w:val="en-US"/>
        </w:rPr>
      </w:pPr>
    </w:p>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Default="00B01217" w:rsidP="00B01217"/>
    <w:p w:rsidR="00B01217" w:rsidRPr="00987CB4" w:rsidRDefault="00B01217" w:rsidP="00B01217"/>
    <w:p w:rsidR="00B01217" w:rsidRDefault="00B01217" w:rsidP="00B01217">
      <w:pPr>
        <w:pStyle w:val="Heading1"/>
        <w:jc w:val="center"/>
        <w:rPr>
          <w:rFonts w:ascii="Times New Roman" w:hAnsi="Times New Roman" w:cs="Times New Roman"/>
          <w:sz w:val="24"/>
          <w:szCs w:val="24"/>
        </w:rPr>
      </w:pPr>
      <w:bookmarkStart w:id="56" w:name="_Toc112709839"/>
      <w:r w:rsidRPr="006B0E5C">
        <w:rPr>
          <w:rFonts w:ascii="Times New Roman" w:hAnsi="Times New Roman" w:cs="Times New Roman"/>
          <w:sz w:val="24"/>
          <w:szCs w:val="24"/>
        </w:rPr>
        <w:lastRenderedPageBreak/>
        <w:t>DISCUSSION</w:t>
      </w:r>
      <w:bookmarkEnd w:id="56"/>
    </w:p>
    <w:p w:rsidR="00B01217" w:rsidRPr="00DB4477" w:rsidRDefault="00B01217" w:rsidP="00B01217">
      <w:pPr>
        <w:spacing w:line="360" w:lineRule="auto"/>
        <w:jc w:val="both"/>
        <w:rPr>
          <w:rFonts w:ascii="Times New Roman" w:hAnsi="Times New Roman" w:cs="Times New Roman"/>
          <w:sz w:val="24"/>
          <w:szCs w:val="24"/>
        </w:rPr>
      </w:pPr>
      <w:r w:rsidRPr="00DB4477">
        <w:rPr>
          <w:rFonts w:ascii="Times New Roman" w:hAnsi="Times New Roman" w:cs="Times New Roman"/>
          <w:sz w:val="24"/>
          <w:szCs w:val="24"/>
        </w:rPr>
        <w:t xml:space="preserve">This report presents data on the outcomes of the September – December 2022 survey conducted in two locations within the Nairobi Urban Health and Demographic Surveillance </w:t>
      </w:r>
      <w:r>
        <w:rPr>
          <w:rFonts w:ascii="Times New Roman" w:hAnsi="Times New Roman" w:cs="Times New Roman"/>
          <w:sz w:val="24"/>
          <w:szCs w:val="24"/>
        </w:rPr>
        <w:t>area</w:t>
      </w:r>
      <w:r w:rsidRPr="00DB4477">
        <w:rPr>
          <w:rFonts w:ascii="Times New Roman" w:hAnsi="Times New Roman" w:cs="Times New Roman"/>
          <w:sz w:val="24"/>
          <w:szCs w:val="24"/>
        </w:rPr>
        <w:t xml:space="preserve">, namely Viwandani </w:t>
      </w:r>
      <w:r>
        <w:rPr>
          <w:rFonts w:ascii="Times New Roman" w:hAnsi="Times New Roman" w:cs="Times New Roman"/>
          <w:sz w:val="24"/>
          <w:szCs w:val="24"/>
        </w:rPr>
        <w:t>and Korogocho. W</w:t>
      </w:r>
      <w:r w:rsidRPr="00DB4477">
        <w:rPr>
          <w:rFonts w:ascii="Times New Roman" w:hAnsi="Times New Roman" w:cs="Times New Roman"/>
          <w:sz w:val="24"/>
          <w:szCs w:val="24"/>
        </w:rPr>
        <w:t>e compiled the finding</w:t>
      </w:r>
      <w:r>
        <w:rPr>
          <w:rFonts w:ascii="Times New Roman" w:hAnsi="Times New Roman" w:cs="Times New Roman"/>
          <w:sz w:val="24"/>
          <w:szCs w:val="24"/>
        </w:rPr>
        <w:t xml:space="preserve">s separately for each location, </w:t>
      </w:r>
      <w:r w:rsidRPr="00DB4477">
        <w:rPr>
          <w:rFonts w:ascii="Times New Roman" w:hAnsi="Times New Roman" w:cs="Times New Roman"/>
          <w:sz w:val="24"/>
          <w:szCs w:val="24"/>
        </w:rPr>
        <w:t xml:space="preserve">compared the two locations, </w:t>
      </w:r>
      <w:r>
        <w:rPr>
          <w:rFonts w:ascii="Times New Roman" w:hAnsi="Times New Roman" w:cs="Times New Roman"/>
          <w:sz w:val="24"/>
          <w:szCs w:val="24"/>
        </w:rPr>
        <w:t>and</w:t>
      </w:r>
      <w:r w:rsidRPr="00DB4477">
        <w:rPr>
          <w:rFonts w:ascii="Times New Roman" w:hAnsi="Times New Roman" w:cs="Times New Roman"/>
          <w:sz w:val="24"/>
          <w:szCs w:val="24"/>
        </w:rPr>
        <w:t xml:space="preserve"> also provided an overview of the general findings for both sites. Overall, the study found that a </w:t>
      </w:r>
      <w:r>
        <w:rPr>
          <w:rFonts w:ascii="Times New Roman" w:hAnsi="Times New Roman" w:cs="Times New Roman"/>
          <w:sz w:val="24"/>
          <w:szCs w:val="24"/>
        </w:rPr>
        <w:t>high</w:t>
      </w:r>
      <w:r w:rsidRPr="00DB4477">
        <w:rPr>
          <w:rFonts w:ascii="Times New Roman" w:hAnsi="Times New Roman" w:cs="Times New Roman"/>
          <w:sz w:val="24"/>
          <w:szCs w:val="24"/>
        </w:rPr>
        <w:t xml:space="preserve"> proportion (92.2%) of individuals living in the Nairobi </w:t>
      </w:r>
      <w:r>
        <w:rPr>
          <w:rFonts w:ascii="Times New Roman" w:hAnsi="Times New Roman" w:cs="Times New Roman"/>
          <w:sz w:val="24"/>
          <w:szCs w:val="24"/>
        </w:rPr>
        <w:t>U</w:t>
      </w:r>
      <w:r w:rsidRPr="00DB4477">
        <w:rPr>
          <w:rFonts w:ascii="Times New Roman" w:hAnsi="Times New Roman" w:cs="Times New Roman"/>
          <w:sz w:val="24"/>
          <w:szCs w:val="24"/>
        </w:rPr>
        <w:t xml:space="preserve">rban </w:t>
      </w:r>
      <w:r>
        <w:rPr>
          <w:rFonts w:ascii="Times New Roman" w:hAnsi="Times New Roman" w:cs="Times New Roman"/>
          <w:sz w:val="24"/>
          <w:szCs w:val="24"/>
        </w:rPr>
        <w:t>H</w:t>
      </w:r>
      <w:r w:rsidRPr="00DB4477">
        <w:rPr>
          <w:rFonts w:ascii="Times New Roman" w:hAnsi="Times New Roman" w:cs="Times New Roman"/>
          <w:sz w:val="24"/>
          <w:szCs w:val="24"/>
        </w:rPr>
        <w:t xml:space="preserve">ealth and </w:t>
      </w:r>
      <w:r>
        <w:rPr>
          <w:rFonts w:ascii="Times New Roman" w:hAnsi="Times New Roman" w:cs="Times New Roman"/>
          <w:sz w:val="24"/>
          <w:szCs w:val="24"/>
        </w:rPr>
        <w:t>D</w:t>
      </w:r>
      <w:r w:rsidRPr="00DB4477">
        <w:rPr>
          <w:rFonts w:ascii="Times New Roman" w:hAnsi="Times New Roman" w:cs="Times New Roman"/>
          <w:sz w:val="24"/>
          <w:szCs w:val="24"/>
        </w:rPr>
        <w:t xml:space="preserve">emographic </w:t>
      </w:r>
      <w:r>
        <w:rPr>
          <w:rFonts w:ascii="Times New Roman" w:hAnsi="Times New Roman" w:cs="Times New Roman"/>
          <w:sz w:val="24"/>
          <w:szCs w:val="24"/>
        </w:rPr>
        <w:t>S</w:t>
      </w:r>
      <w:r w:rsidRPr="00DB4477">
        <w:rPr>
          <w:rFonts w:ascii="Times New Roman" w:hAnsi="Times New Roman" w:cs="Times New Roman"/>
          <w:sz w:val="24"/>
          <w:szCs w:val="24"/>
        </w:rPr>
        <w:t xml:space="preserve">urveillance </w:t>
      </w:r>
      <w:r>
        <w:rPr>
          <w:rFonts w:ascii="Times New Roman" w:hAnsi="Times New Roman" w:cs="Times New Roman"/>
          <w:sz w:val="24"/>
          <w:szCs w:val="24"/>
        </w:rPr>
        <w:t>area</w:t>
      </w:r>
      <w:r w:rsidRPr="00DB4477">
        <w:rPr>
          <w:rFonts w:ascii="Times New Roman" w:hAnsi="Times New Roman" w:cs="Times New Roman"/>
          <w:sz w:val="24"/>
          <w:szCs w:val="24"/>
        </w:rPr>
        <w:t xml:space="preserve"> had</w:t>
      </w:r>
      <w:r>
        <w:rPr>
          <w:rFonts w:ascii="Times New Roman" w:hAnsi="Times New Roman" w:cs="Times New Roman"/>
          <w:sz w:val="24"/>
          <w:szCs w:val="24"/>
        </w:rPr>
        <w:t xml:space="preserve"> </w:t>
      </w:r>
      <w:r w:rsidRPr="00DB4477">
        <w:rPr>
          <w:rFonts w:ascii="Times New Roman" w:hAnsi="Times New Roman" w:cs="Times New Roman"/>
          <w:sz w:val="24"/>
          <w:szCs w:val="24"/>
        </w:rPr>
        <w:t>antibodies</w:t>
      </w:r>
      <w:r>
        <w:rPr>
          <w:rFonts w:ascii="Times New Roman" w:hAnsi="Times New Roman" w:cs="Times New Roman"/>
          <w:sz w:val="24"/>
          <w:szCs w:val="24"/>
        </w:rPr>
        <w:t xml:space="preserve"> against SARS-CoV-2</w:t>
      </w:r>
      <w:r w:rsidRPr="00DB4477">
        <w:rPr>
          <w:rFonts w:ascii="Times New Roman" w:hAnsi="Times New Roman" w:cs="Times New Roman"/>
          <w:sz w:val="24"/>
          <w:szCs w:val="24"/>
        </w:rPr>
        <w:t xml:space="preserve">, which is more than twice the seroprevalence observed in May 2021 when only 40% of NUHDSS residents had </w:t>
      </w:r>
      <w:r>
        <w:rPr>
          <w:rFonts w:ascii="Times New Roman" w:hAnsi="Times New Roman" w:cs="Times New Roman"/>
          <w:sz w:val="24"/>
          <w:szCs w:val="24"/>
        </w:rPr>
        <w:t>SARS-CoV-2</w:t>
      </w:r>
      <w:r w:rsidRPr="00DB4477">
        <w:rPr>
          <w:rFonts w:ascii="Times New Roman" w:hAnsi="Times New Roman" w:cs="Times New Roman"/>
          <w:sz w:val="24"/>
          <w:szCs w:val="24"/>
        </w:rPr>
        <w:t xml:space="preserve"> antibodies (Etyang et al., 2022). </w:t>
      </w:r>
      <w:r>
        <w:rPr>
          <w:rFonts w:ascii="Times New Roman" w:hAnsi="Times New Roman" w:cs="Times New Roman"/>
          <w:sz w:val="24"/>
          <w:szCs w:val="24"/>
        </w:rPr>
        <w:t>This is also slightly higher than the prevalence reported in June 2022 (88.8%). The continued rise in seroprevalence is attributable to infection and vaccination. W</w:t>
      </w:r>
      <w:r w:rsidRPr="00DB4477">
        <w:rPr>
          <w:rFonts w:ascii="Times New Roman" w:hAnsi="Times New Roman" w:cs="Times New Roman"/>
          <w:sz w:val="24"/>
          <w:szCs w:val="24"/>
        </w:rPr>
        <w:t xml:space="preserve">e acknowledge that vaccination may have contributed to the increase in the number of people with antibodies, as the survey was conducted about two years after the rollout of COVID-19 vaccines in the country. However, when we examined the participants' vaccination status, we found that more than half of the residents had not been vaccinated against COVID-19. This low uptake of the vaccine, possibly suggests that a significant proportion of individuals with the antibodies likely acquired them through natural infection. Nevertheless, it is important to note that vaccination still provides a complementary </w:t>
      </w:r>
      <w:r>
        <w:rPr>
          <w:rFonts w:ascii="Times New Roman" w:hAnsi="Times New Roman" w:cs="Times New Roman"/>
          <w:sz w:val="24"/>
          <w:szCs w:val="24"/>
        </w:rPr>
        <w:t xml:space="preserve">protective </w:t>
      </w:r>
      <w:r w:rsidRPr="00DB4477">
        <w:rPr>
          <w:rFonts w:ascii="Times New Roman" w:hAnsi="Times New Roman" w:cs="Times New Roman"/>
          <w:sz w:val="24"/>
          <w:szCs w:val="24"/>
        </w:rPr>
        <w:t xml:space="preserve">benefit, as evidenced by the highest prevalence of </w:t>
      </w:r>
      <w:r>
        <w:rPr>
          <w:rFonts w:ascii="Times New Roman" w:hAnsi="Times New Roman" w:cs="Times New Roman"/>
          <w:sz w:val="24"/>
          <w:szCs w:val="24"/>
        </w:rPr>
        <w:t>SARS-CoV-2</w:t>
      </w:r>
      <w:r w:rsidRPr="00DB4477">
        <w:rPr>
          <w:rFonts w:ascii="Times New Roman" w:hAnsi="Times New Roman" w:cs="Times New Roman"/>
          <w:sz w:val="24"/>
          <w:szCs w:val="24"/>
        </w:rPr>
        <w:t xml:space="preserve"> antibodies observed among individuals who are fully vaccinated.</w:t>
      </w:r>
    </w:p>
    <w:p w:rsidR="00B01217" w:rsidRPr="004532E7" w:rsidRDefault="00B01217" w:rsidP="00B01217">
      <w:pPr>
        <w:spacing w:line="360" w:lineRule="auto"/>
        <w:jc w:val="both"/>
        <w:rPr>
          <w:rFonts w:ascii="Times New Roman" w:hAnsi="Times New Roman" w:cs="Times New Roman"/>
          <w:sz w:val="24"/>
          <w:szCs w:val="24"/>
        </w:rPr>
      </w:pPr>
      <w:r w:rsidRPr="004532E7">
        <w:rPr>
          <w:rFonts w:ascii="Times New Roman" w:hAnsi="Times New Roman" w:cs="Times New Roman"/>
          <w:sz w:val="24"/>
          <w:szCs w:val="24"/>
        </w:rPr>
        <w:t xml:space="preserve">There was no significant difference in risk perception between residents of Korogocho and Viwandani in general. However, prevalence of antibodies was highest among participants in the age of 65 years and above, majority of whom also perceived their risk of being infected with </w:t>
      </w:r>
      <w:r>
        <w:rPr>
          <w:rFonts w:ascii="Times New Roman" w:hAnsi="Times New Roman" w:cs="Times New Roman"/>
          <w:sz w:val="24"/>
          <w:szCs w:val="24"/>
        </w:rPr>
        <w:t>SARS-CoV-2</w:t>
      </w:r>
      <w:r w:rsidRPr="004532E7">
        <w:rPr>
          <w:rFonts w:ascii="Times New Roman" w:hAnsi="Times New Roman" w:cs="Times New Roman"/>
          <w:sz w:val="24"/>
          <w:szCs w:val="24"/>
        </w:rPr>
        <w:t xml:space="preserve"> as nil. When people believe they are at a low risk of being infected, they may be less likely to follow public health measures. This can result in a higher rate of infection transmission. Orangi and colleagues (2021) found that people's perception of their personal risk of COVID-19 and how it affects their lives and jobs can contribute to vaccine hesitancy. As a significant construct of most psychological theories, individuals’ beliefs about risk plays a key role in behaviour. </w:t>
      </w:r>
      <w:r w:rsidRPr="004532E7">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{"citationItems":[{"id":"ITEM-1","itemData":{"DOI":"10.1037/0278-6133.26.2.136","ISSN":"02786133","PMID":"17385964","abstract":"Background: Risk perceptions are central to many health behavior theories. However, the relationship between risk perceptions and behavior, muddied by instances of inappropriate assessment and analysis, often looks weak. Method: A meta-analysis of eligible studies assessing the bivariate association between adult vaccination and perceived likelihood, susceptibility, or severity was conducted. Results: Thirty-four studies met inclusion criteria (N = 15,988). Risk likelihood (pooled r =.26), susceptibility (pooled r =.24), and severity (pooled r =.16) significantly predicted vaccination behavior. The risk perception-behavior relationship was larger for studies that were prospective, had higher quality risk measures, or had unskewed risk or behavior measures. Conclusions: The consistent relationships between risk perceptions and behavior, larger than suggested by prior meta-analyses, suggest that risk perceptions are rightly placed as core concepts in theories of health behavior. © 2007 APA, all rights reserved.","author":[{"dropping-particle":"","family":"Brewer","given":"Noel T.","non-dropping-particle":"","parse-names":false,"suffix":""},{"dropping-particle":"","family":"Chapman","given":"Gretchen B.","non-dropping-particle":"","parse-names":false,"suffix":""},{"dropping-particle":"","family":"Gibbons","given":"Frederick X.","non-dropping-particle":"","parse-names":false,"suffix":""},{"dropping-particle":"","family":"Gerrard","given":"Meg","non-dropping-particle":"","parse-names":false,"suffix":""},{"dropping-particle":"","family":"McCaul","given":"Kevin D.","non-dropping-particle":"","parse-names":false,"suffix":""},{"dropping-particle":"","family":"Weinstein","given":"Neil D.","non-dropping-particle":"","parse-names":false,"suffix":""}],"container-title":"Health Psychology","id":"ITEM-1","issue":"2","issued":{"date-parts":[["2007"]]},"page":"136-145","title":"Meta-analysis of the relationship between risk perception and health behavior: The example of vaccination","type":"article-journal","volume":"26"},"uris":["http://www.mendeley.com/documents/?uuid=6f40ced3-7331-48ba-bce2-a6b49769ac0b"]}],"mendeley":{"formattedCitation":"(Brewer et al., 2007)","manualFormatting":"Brewer et al., (2007)","plainTextFormattedCitation":"(Brewer et al., 2007)","previouslyFormattedCitation":"(Brewer et al., 2007)"},"properties":{"noteIndex":0},"schema":"https://github.com/citation-style-language/schema/raw/master/csl-citation.json"}</w:instrText>
      </w:r>
      <w:r w:rsidRPr="004532E7">
        <w:rPr>
          <w:rFonts w:ascii="Times New Roman" w:hAnsi="Times New Roman" w:cs="Times New Roman"/>
          <w:sz w:val="24"/>
          <w:szCs w:val="24"/>
        </w:rPr>
        <w:fldChar w:fldCharType="separate"/>
      </w:r>
      <w:r w:rsidRPr="004532E7">
        <w:rPr>
          <w:rFonts w:ascii="Times New Roman" w:hAnsi="Times New Roman" w:cs="Times New Roman"/>
          <w:noProof/>
          <w:sz w:val="24"/>
          <w:szCs w:val="24"/>
        </w:rPr>
        <w:t>Brewer et al., (2007)</w:t>
      </w:r>
      <w:r w:rsidRPr="004532E7">
        <w:rPr>
          <w:rFonts w:ascii="Times New Roman" w:hAnsi="Times New Roman" w:cs="Times New Roman"/>
          <w:sz w:val="24"/>
          <w:szCs w:val="24"/>
        </w:rPr>
        <w:fldChar w:fldCharType="end"/>
      </w:r>
      <w:r w:rsidRPr="004532E7">
        <w:rPr>
          <w:rFonts w:ascii="Times New Roman" w:hAnsi="Times New Roman" w:cs="Times New Roman"/>
          <w:sz w:val="24"/>
          <w:szCs w:val="24"/>
        </w:rPr>
        <w:t xml:space="preserve"> demonstrates risk perception to be a predictor of vaccination behaviour. A </w:t>
      </w:r>
      <w:r>
        <w:rPr>
          <w:rFonts w:ascii="Times New Roman" w:hAnsi="Times New Roman" w:cs="Times New Roman"/>
          <w:sz w:val="24"/>
          <w:szCs w:val="24"/>
        </w:rPr>
        <w:t>plausible</w:t>
      </w:r>
      <w:r w:rsidRPr="004532E7">
        <w:rPr>
          <w:rFonts w:ascii="Times New Roman" w:hAnsi="Times New Roman" w:cs="Times New Roman"/>
          <w:sz w:val="24"/>
          <w:szCs w:val="24"/>
        </w:rPr>
        <w:t xml:space="preserve"> explanation for why people may take risks </w:t>
      </w:r>
      <w:r>
        <w:rPr>
          <w:rFonts w:ascii="Times New Roman" w:hAnsi="Times New Roman" w:cs="Times New Roman"/>
          <w:sz w:val="24"/>
          <w:szCs w:val="24"/>
        </w:rPr>
        <w:t xml:space="preserve">by not getting vaccinated </w:t>
      </w:r>
      <w:r w:rsidRPr="004532E7">
        <w:rPr>
          <w:rFonts w:ascii="Times New Roman" w:hAnsi="Times New Roman" w:cs="Times New Roman"/>
          <w:sz w:val="24"/>
          <w:szCs w:val="24"/>
        </w:rPr>
        <w:t xml:space="preserve">is that they ignore or at least greatly underestimate the likelihood of negative outcomes. </w:t>
      </w:r>
    </w:p>
    <w:p w:rsidR="00B01217" w:rsidRPr="00B61C7C" w:rsidRDefault="00B01217" w:rsidP="00B01217">
      <w:pPr>
        <w:spacing w:line="360" w:lineRule="auto"/>
        <w:jc w:val="both"/>
        <w:rPr>
          <w:rFonts w:ascii="Times New Roman" w:hAnsi="Times New Roman" w:cs="Times New Roman"/>
          <w:sz w:val="24"/>
          <w:szCs w:val="24"/>
        </w:rPr>
      </w:pPr>
      <w:r w:rsidRPr="00B61C7C">
        <w:rPr>
          <w:rFonts w:ascii="Times New Roman" w:hAnsi="Times New Roman" w:cs="Times New Roman"/>
          <w:sz w:val="24"/>
          <w:szCs w:val="24"/>
        </w:rPr>
        <w:t xml:space="preserve">The presence of households containing individuals who have experienced a decline in income generating activities or job loss within the last six months, despite the pandemic being three </w:t>
      </w:r>
      <w:r w:rsidRPr="00B61C7C">
        <w:rPr>
          <w:rFonts w:ascii="Times New Roman" w:hAnsi="Times New Roman" w:cs="Times New Roman"/>
          <w:sz w:val="24"/>
          <w:szCs w:val="24"/>
        </w:rPr>
        <w:lastRenderedPageBreak/>
        <w:t xml:space="preserve">years old, serves as evidence of the COVID-19 pandemic's impact on families' financial stability and overall well-being. During the early days of the pandemic, many households were faced with unemployment or furlough, with young adults being particularly affected. This economic impact has persisted three years later, indicating a sluggish economic recovery from the crisis. </w:t>
      </w:r>
      <w:r w:rsidRPr="00B61C7C">
        <w:rPr>
          <w:rFonts w:ascii="Times New Roman" w:hAnsi="Times New Roman" w:cs="Times New Roman"/>
          <w:sz w:val="24"/>
          <w:szCs w:val="24"/>
        </w:rPr>
        <w:fldChar w:fldCharType="begin" w:fldLock="1"/>
      </w:r>
      <w:r w:rsidRPr="00B61C7C">
        <w:rPr>
          <w:rFonts w:ascii="Times New Roman" w:hAnsi="Times New Roman" w:cs="Times New Roman"/>
          <w:sz w:val="24"/>
          <w:szCs w:val="24"/>
        </w:rPr>
        <w:instrText>ADDIN CSL_CITATION {"citationItems":[{"id":"ITEM-1","itemData":{"author":[{"dropping-particle":"","family":"Patel","given":"J. A","non-dropping-particle":"","parse-names":false,"suffix":""},{"dropping-particle":"","family":"Nielsen","given":"F. B. H.","non-dropping-particle":"","parse-names":false,"suffix":""},{"dropping-particle":"","family":"Badiani","given":"A. A.","non-dropping-particle":"","parse-names":false,"suffix":""}],"id":"ITEM-1","issue":"January","issued":{"date-parts":[["2020"]]},"title":"Poverty, inequality and COVID-19: the forgotten vulnerable","type":"article-journal"},"uris":["http://www.mendeley.com/documents/?uuid=8771f9b0-f58c-4086-9050-e95f99a5c48f"]}],"mendeley":{"formattedCitation":"(Patel et al., 2020)","manualFormatting":"Patel et al., (2020)","plainTextFormattedCitation":"(Patel et al., 2020)","previouslyFormattedCitation":"(Patel et al., 2020)"},"properties":{"noteIndex":0},"schema":"https://github.com/citation-style-language/schema/raw/master/csl-citation.json"}</w:instrText>
      </w:r>
      <w:r w:rsidRPr="00B61C7C">
        <w:rPr>
          <w:rFonts w:ascii="Times New Roman" w:hAnsi="Times New Roman" w:cs="Times New Roman"/>
          <w:sz w:val="24"/>
          <w:szCs w:val="24"/>
        </w:rPr>
        <w:fldChar w:fldCharType="separate"/>
      </w:r>
      <w:r w:rsidRPr="00B61C7C">
        <w:rPr>
          <w:rFonts w:ascii="Times New Roman" w:hAnsi="Times New Roman" w:cs="Times New Roman"/>
          <w:noProof/>
          <w:sz w:val="24"/>
          <w:szCs w:val="24"/>
        </w:rPr>
        <w:t>Patel et al., (2020)</w:t>
      </w:r>
      <w:r w:rsidRPr="00B61C7C">
        <w:rPr>
          <w:rFonts w:ascii="Times New Roman" w:hAnsi="Times New Roman" w:cs="Times New Roman"/>
          <w:sz w:val="24"/>
          <w:szCs w:val="24"/>
        </w:rPr>
        <w:fldChar w:fldCharType="end"/>
      </w:r>
      <w:r w:rsidRPr="00B61C7C">
        <w:rPr>
          <w:rFonts w:ascii="Times New Roman" w:hAnsi="Times New Roman" w:cs="Times New Roman"/>
          <w:sz w:val="24"/>
          <w:szCs w:val="24"/>
        </w:rPr>
        <w:t xml:space="preserve"> </w:t>
      </w:r>
      <w:r>
        <w:rPr>
          <w:rFonts w:ascii="Times New Roman" w:hAnsi="Times New Roman" w:cs="Times New Roman"/>
          <w:sz w:val="24"/>
          <w:szCs w:val="24"/>
        </w:rPr>
        <w:t>showed</w:t>
      </w:r>
      <w:r w:rsidRPr="00B61C7C">
        <w:rPr>
          <w:rFonts w:ascii="Times New Roman" w:hAnsi="Times New Roman" w:cs="Times New Roman"/>
          <w:sz w:val="24"/>
          <w:szCs w:val="24"/>
        </w:rPr>
        <w:t xml:space="preserve"> that families with lower income levels were more likely to experience income loss during the COVID-19 crisis, while </w:t>
      </w:r>
      <w:r w:rsidRPr="00B61C7C">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V","family":"Loayza","given":"Norman","non-dropping-particle":"","parse-names":false,"suffix":""},{"dropping-particle":"","family":"Pennings","given":"Steven","non-dropping-particle":"","parse-names":false,"suffix":""}],"id":"ITEM-1","issue":"28","issued":{"date-parts":[["2020"]]},"title":"Research &amp; Policy Briefs Macroeconomic Policy in the Time of COVID-19 : A Primer for Developing Countries","type":"article-journal"},"uris":["http://www.mendeley.com/documents/?uuid=b7e5fa19-39cb-4268-8042-39ae9e2785eb"]}],"mendeley":{"formattedCitation":"(Loayza &amp; Pennings, 2020)","manualFormatting":"Loayza &amp; Pennings, (2020)","plainTextFormattedCitation":"(Loayza &amp; Pennings, 2020)","previouslyFormattedCitation":"(Loayza &amp; Pennings, 2020)"},"properties":{"noteIndex":0},"schema":"https://github.com/citation-style-language/schema/raw/master/csl-citation.json"}</w:instrText>
      </w:r>
      <w:r w:rsidRPr="00B61C7C">
        <w:rPr>
          <w:rFonts w:ascii="Times New Roman" w:hAnsi="Times New Roman" w:cs="Times New Roman"/>
          <w:sz w:val="24"/>
          <w:szCs w:val="24"/>
        </w:rPr>
        <w:fldChar w:fldCharType="separate"/>
      </w:r>
      <w:r w:rsidRPr="00B61C7C">
        <w:rPr>
          <w:rFonts w:ascii="Times New Roman" w:hAnsi="Times New Roman" w:cs="Times New Roman"/>
          <w:noProof/>
          <w:sz w:val="24"/>
          <w:szCs w:val="24"/>
        </w:rPr>
        <w:t>Loayza &amp; Pennings, (2020)</w:t>
      </w:r>
      <w:r w:rsidRPr="00B61C7C">
        <w:rPr>
          <w:rFonts w:ascii="Times New Roman" w:hAnsi="Times New Roman" w:cs="Times New Roman"/>
          <w:sz w:val="24"/>
          <w:szCs w:val="24"/>
        </w:rPr>
        <w:fldChar w:fldCharType="end"/>
      </w:r>
      <w:r w:rsidRPr="00B61C7C">
        <w:rPr>
          <w:rFonts w:ascii="Times New Roman" w:hAnsi="Times New Roman" w:cs="Times New Roman"/>
          <w:sz w:val="24"/>
          <w:szCs w:val="24"/>
        </w:rPr>
        <w:t xml:space="preserve"> linked persistent economic shocks and longer recovery times to lower socioeconomic status. </w:t>
      </w:r>
    </w:p>
    <w:p w:rsidR="00B01217" w:rsidRPr="006B0E5C" w:rsidRDefault="00B01217" w:rsidP="00B01217">
      <w:pPr>
        <w:pStyle w:val="Heading1"/>
        <w:jc w:val="center"/>
        <w:rPr>
          <w:rFonts w:ascii="Times New Roman" w:hAnsi="Times New Roman" w:cs="Times New Roman"/>
          <w:sz w:val="24"/>
          <w:szCs w:val="24"/>
          <w:lang w:val="en-US"/>
        </w:rPr>
      </w:pPr>
      <w:bookmarkStart w:id="57" w:name="_Toc112709840"/>
      <w:r w:rsidRPr="006B0E5C">
        <w:rPr>
          <w:rFonts w:ascii="Times New Roman" w:hAnsi="Times New Roman" w:cs="Times New Roman"/>
          <w:sz w:val="24"/>
          <w:szCs w:val="24"/>
        </w:rPr>
        <w:t>CONCLUSION</w:t>
      </w:r>
      <w:bookmarkEnd w:id="57"/>
    </w:p>
    <w:p w:rsidR="00B01217" w:rsidRPr="00C10459" w:rsidRDefault="00B01217" w:rsidP="00B01217">
      <w:pPr>
        <w:spacing w:line="360" w:lineRule="auto"/>
        <w:jc w:val="both"/>
        <w:rPr>
          <w:rFonts w:ascii="Times New Roman" w:hAnsi="Times New Roman" w:cs="Times New Roman"/>
          <w:sz w:val="24"/>
          <w:szCs w:val="24"/>
        </w:rPr>
      </w:pPr>
      <w:r w:rsidRPr="00C10459">
        <w:rPr>
          <w:rFonts w:ascii="Times New Roman" w:hAnsi="Times New Roman" w:cs="Times New Roman"/>
          <w:sz w:val="24"/>
          <w:szCs w:val="24"/>
        </w:rPr>
        <w:t xml:space="preserve">As of December 2022, the percentage of individuals living in NUHDSS with </w:t>
      </w:r>
      <w:r>
        <w:rPr>
          <w:rFonts w:ascii="Times New Roman" w:hAnsi="Times New Roman" w:cs="Times New Roman"/>
          <w:sz w:val="24"/>
          <w:szCs w:val="24"/>
        </w:rPr>
        <w:t>SARS-CoV-2</w:t>
      </w:r>
      <w:r w:rsidRPr="00C10459">
        <w:rPr>
          <w:rFonts w:ascii="Times New Roman" w:hAnsi="Times New Roman" w:cs="Times New Roman"/>
          <w:sz w:val="24"/>
          <w:szCs w:val="24"/>
        </w:rPr>
        <w:t xml:space="preserve"> antibodies due to natural infection or vaccination was 92.2%, a more than two-fold increase in seroprevalence since May 2021 when it was 40%. However, half of the population still had not received the COVID-19 vaccine. Despite this, </w:t>
      </w:r>
      <w:r>
        <w:rPr>
          <w:rFonts w:ascii="Times New Roman" w:hAnsi="Times New Roman" w:cs="Times New Roman"/>
          <w:sz w:val="24"/>
          <w:szCs w:val="24"/>
        </w:rPr>
        <w:t>slum</w:t>
      </w:r>
      <w:r w:rsidRPr="00C10459">
        <w:rPr>
          <w:rFonts w:ascii="Times New Roman" w:hAnsi="Times New Roman" w:cs="Times New Roman"/>
          <w:sz w:val="24"/>
          <w:szCs w:val="24"/>
        </w:rPr>
        <w:t xml:space="preserve"> residents generally have a poor perception of their risk of being infected with SARS-CoV-2, which could be a significant factor in the low uptake of the COVID-19 vaccine</w:t>
      </w:r>
    </w:p>
    <w:p w:rsidR="00B01217" w:rsidRPr="006B0E5C" w:rsidRDefault="00B01217" w:rsidP="00B01217">
      <w:pPr>
        <w:pStyle w:val="Heading1"/>
        <w:rPr>
          <w:rFonts w:ascii="Times New Roman" w:hAnsi="Times New Roman" w:cs="Times New Roman"/>
          <w:sz w:val="24"/>
          <w:szCs w:val="24"/>
        </w:rPr>
      </w:pPr>
      <w:r>
        <w:rPr>
          <w:rFonts w:ascii="Times New Roman" w:hAnsi="Times New Roman" w:cs="Times New Roman"/>
          <w:sz w:val="24"/>
          <w:szCs w:val="24"/>
        </w:rPr>
        <w:t>Strengths and Limitations of the study</w:t>
      </w:r>
    </w:p>
    <w:p w:rsidR="00B01217" w:rsidRPr="00F711B3" w:rsidRDefault="00B01217" w:rsidP="00B012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had a sampling from the NUHDSS database and therefore we were able to draw a representative random sample. This sample is representative of the wider slum community as opposed to clinic-based or blood donor samples. </w:t>
      </w:r>
      <w:r w:rsidRPr="00F711B3">
        <w:rPr>
          <w:rFonts w:ascii="Times New Roman" w:hAnsi="Times New Roman" w:cs="Times New Roman"/>
          <w:sz w:val="24"/>
          <w:szCs w:val="24"/>
        </w:rPr>
        <w:t>The community provided good cooperation, allowing us to collect data from over 850 respondents in just three months, achieving our required sample. We maintained a positive and cooperative relationship with the administrative leadership in both study sites, including their involvement in sensitizing the community prior to data collection. Any challenges or observations during data collection were openly discussed with them, which positively contributed to the project's success. Additionally, continuous mobilization efforts, including revisits and mentions on local radio, improved understanding and convinced some hesitant participants to consent to take part in the study. Regular communication with the teams in Kisumu and Kilifi also facilitated cross-site learning and problem solving during data collection, while regular data review meetings with the field team provided timely support and contributed to the overall success of the project.</w:t>
      </w:r>
    </w:p>
    <w:p w:rsidR="00B01217" w:rsidRPr="00F711B3" w:rsidRDefault="00B01217" w:rsidP="00B01217">
      <w:pPr>
        <w:spacing w:line="360" w:lineRule="auto"/>
        <w:jc w:val="both"/>
        <w:rPr>
          <w:rFonts w:ascii="Times New Roman" w:hAnsi="Times New Roman" w:cs="Times New Roman"/>
          <w:sz w:val="24"/>
          <w:szCs w:val="24"/>
        </w:rPr>
      </w:pPr>
      <w:r w:rsidRPr="00F711B3">
        <w:rPr>
          <w:rFonts w:ascii="Times New Roman" w:hAnsi="Times New Roman" w:cs="Times New Roman"/>
          <w:sz w:val="24"/>
          <w:szCs w:val="24"/>
        </w:rPr>
        <w:t xml:space="preserve">Tracing some of the sampled participants proved challenging as some had relocated from their usual place of residence, and others had completely left the study communities. For those who had moved within the slums, we enlisted the help of local informers and former NUHDSS staff </w:t>
      </w:r>
      <w:r w:rsidRPr="00F711B3">
        <w:rPr>
          <w:rFonts w:ascii="Times New Roman" w:hAnsi="Times New Roman" w:cs="Times New Roman"/>
          <w:sz w:val="24"/>
          <w:szCs w:val="24"/>
        </w:rPr>
        <w:lastRenderedPageBreak/>
        <w:t xml:space="preserve">with knowledge of the community to assist in locating them. </w:t>
      </w:r>
      <w:r>
        <w:rPr>
          <w:rFonts w:ascii="Times New Roman" w:hAnsi="Times New Roman" w:cs="Times New Roman"/>
          <w:sz w:val="24"/>
          <w:szCs w:val="24"/>
        </w:rPr>
        <w:t xml:space="preserve">Otherwise, we replaced the participants whom we could not trace. </w:t>
      </w:r>
      <w:r w:rsidRPr="00F711B3">
        <w:rPr>
          <w:rFonts w:ascii="Times New Roman" w:hAnsi="Times New Roman" w:cs="Times New Roman"/>
          <w:sz w:val="24"/>
          <w:szCs w:val="24"/>
        </w:rPr>
        <w:t>Some participants refused to participate in the study due to fear of blood or needle prick, religious beliefs against blood drawing, concern over recovery time, or superstitious beliefs associated with blood drawing and cult practices. To address these concerns, we conducted a comprehensive consenting process and encouraged participants who agreed to share their positive experiences with those who were hesitant. We continually explained the study's aims and procedures, and the potential benefits to the entire community. Some participants were only available during odd hours, so we engaged local security personnel to enable the team to work at these times. We also prioritized working on weekends and public holidays to reach all working participants who were unavailable on weekdays.</w:t>
      </w:r>
    </w:p>
    <w:p w:rsidR="00B01217" w:rsidRDefault="00B01217" w:rsidP="00B01217">
      <w:pPr>
        <w:spacing w:after="240"/>
        <w:jc w:val="both"/>
        <w:rPr>
          <w:sz w:val="24"/>
          <w:szCs w:val="24"/>
        </w:rPr>
      </w:pPr>
    </w:p>
    <w:p w:rsidR="00B01217" w:rsidRDefault="00B01217" w:rsidP="00B01217">
      <w:pPr>
        <w:spacing w:after="240"/>
        <w:jc w:val="both"/>
        <w:rPr>
          <w:sz w:val="24"/>
          <w:szCs w:val="24"/>
        </w:rPr>
      </w:pPr>
    </w:p>
    <w:p w:rsidR="00B01217" w:rsidRDefault="00B01217" w:rsidP="00B01217">
      <w:pPr>
        <w:spacing w:after="240"/>
        <w:jc w:val="both"/>
        <w:rPr>
          <w:sz w:val="24"/>
          <w:szCs w:val="24"/>
        </w:rPr>
      </w:pPr>
    </w:p>
    <w:p w:rsidR="00B01217" w:rsidRDefault="00B01217" w:rsidP="00B01217">
      <w:pPr>
        <w:spacing w:after="240"/>
        <w:jc w:val="both"/>
        <w:rPr>
          <w:sz w:val="24"/>
          <w:szCs w:val="24"/>
        </w:rPr>
      </w:pPr>
    </w:p>
    <w:p w:rsidR="00B01217" w:rsidRDefault="00B01217" w:rsidP="00B01217">
      <w:pPr>
        <w:spacing w:after="240"/>
        <w:jc w:val="both"/>
        <w:rPr>
          <w:sz w:val="24"/>
          <w:szCs w:val="24"/>
        </w:rPr>
      </w:pPr>
    </w:p>
    <w:p w:rsidR="00B01217" w:rsidRDefault="00B01217" w:rsidP="00B01217">
      <w:pPr>
        <w:spacing w:after="240"/>
        <w:jc w:val="both"/>
        <w:rPr>
          <w:sz w:val="24"/>
          <w:szCs w:val="24"/>
        </w:rPr>
      </w:pPr>
    </w:p>
    <w:p w:rsidR="00B01217" w:rsidRDefault="00B01217" w:rsidP="00B01217">
      <w:pPr>
        <w:spacing w:after="240"/>
        <w:jc w:val="both"/>
        <w:rPr>
          <w:sz w:val="24"/>
          <w:szCs w:val="24"/>
        </w:rPr>
      </w:pPr>
    </w:p>
    <w:p w:rsidR="00B01217" w:rsidRDefault="00B01217" w:rsidP="00B01217">
      <w:pPr>
        <w:spacing w:after="240"/>
        <w:jc w:val="both"/>
        <w:rPr>
          <w:sz w:val="24"/>
          <w:szCs w:val="24"/>
        </w:rPr>
      </w:pPr>
    </w:p>
    <w:p w:rsidR="00B01217" w:rsidRDefault="00B01217" w:rsidP="00B01217">
      <w:pPr>
        <w:spacing w:after="240"/>
        <w:jc w:val="both"/>
      </w:pPr>
    </w:p>
    <w:p w:rsidR="00B01217" w:rsidRDefault="00B01217" w:rsidP="00B01217">
      <w:pPr>
        <w:spacing w:after="240"/>
        <w:jc w:val="both"/>
      </w:pPr>
    </w:p>
    <w:p w:rsidR="00B01217" w:rsidRDefault="00B01217" w:rsidP="00B01217">
      <w:pPr>
        <w:spacing w:after="240"/>
        <w:jc w:val="both"/>
      </w:pPr>
    </w:p>
    <w:p w:rsidR="00B01217" w:rsidRDefault="00B01217" w:rsidP="00B01217">
      <w:pPr>
        <w:spacing w:after="240"/>
        <w:jc w:val="both"/>
      </w:pPr>
    </w:p>
    <w:p w:rsidR="00B01217" w:rsidRDefault="00B01217" w:rsidP="00B01217">
      <w:pPr>
        <w:spacing w:after="240"/>
        <w:jc w:val="both"/>
      </w:pPr>
    </w:p>
    <w:p w:rsidR="00B01217" w:rsidRDefault="00B01217" w:rsidP="00B01217">
      <w:pPr>
        <w:spacing w:after="240"/>
        <w:jc w:val="both"/>
      </w:pPr>
    </w:p>
    <w:p w:rsidR="00B01217" w:rsidRDefault="00B01217" w:rsidP="00B01217">
      <w:pPr>
        <w:spacing w:after="240"/>
        <w:jc w:val="both"/>
      </w:pPr>
    </w:p>
    <w:p w:rsidR="00B01217" w:rsidRDefault="00B01217" w:rsidP="00B01217">
      <w:pPr>
        <w:spacing w:after="240"/>
        <w:jc w:val="both"/>
      </w:pPr>
    </w:p>
    <w:p w:rsidR="00B01217" w:rsidRPr="004F36D7" w:rsidRDefault="00B01217" w:rsidP="00B01217">
      <w:pPr>
        <w:spacing w:after="240"/>
        <w:jc w:val="both"/>
      </w:pPr>
    </w:p>
    <w:p w:rsidR="00B01217" w:rsidRPr="003825D4" w:rsidRDefault="00B01217" w:rsidP="00B01217">
      <w:pPr>
        <w:pStyle w:val="Heading1"/>
        <w:jc w:val="center"/>
        <w:rPr>
          <w:rFonts w:ascii="Times New Roman" w:hAnsi="Times New Roman" w:cs="Times New Roman"/>
          <w:sz w:val="24"/>
          <w:szCs w:val="24"/>
        </w:rPr>
      </w:pPr>
      <w:bookmarkStart w:id="58" w:name="_Toc112709844"/>
      <w:r w:rsidRPr="003825D4">
        <w:rPr>
          <w:rFonts w:ascii="Times New Roman" w:hAnsi="Times New Roman" w:cs="Times New Roman"/>
          <w:sz w:val="24"/>
          <w:szCs w:val="24"/>
        </w:rPr>
        <w:lastRenderedPageBreak/>
        <w:t>REFERENCES</w:t>
      </w:r>
      <w:bookmarkEnd w:id="58"/>
    </w:p>
    <w:p w:rsidR="00B01217" w:rsidRPr="00F711B3" w:rsidRDefault="00B01217" w:rsidP="00B01217">
      <w:pPr>
        <w:widowControl w:val="0"/>
        <w:autoSpaceDE w:val="0"/>
        <w:autoSpaceDN w:val="0"/>
        <w:adjustRightInd w:val="0"/>
        <w:spacing w:line="240" w:lineRule="auto"/>
        <w:ind w:left="480" w:hanging="480"/>
        <w:rPr>
          <w:rFonts w:ascii="Times New Roman" w:hAnsi="Times New Roman" w:cs="Times New Roman"/>
          <w:noProof/>
          <w:sz w:val="24"/>
          <w:szCs w:val="24"/>
        </w:rPr>
      </w:pPr>
      <w:r>
        <w:rPr>
          <w:rFonts w:ascii="Times New Roman" w:hAnsi="Times New Roman" w:cs="Times New Roman"/>
          <w:b/>
          <w:sz w:val="24"/>
          <w:szCs w:val="24"/>
          <w:lang w:val="en-US"/>
        </w:rPr>
        <w:fldChar w:fldCharType="begin" w:fldLock="1"/>
      </w:r>
      <w:r>
        <w:rPr>
          <w:rFonts w:ascii="Times New Roman" w:hAnsi="Times New Roman" w:cs="Times New Roman"/>
          <w:b/>
          <w:sz w:val="24"/>
          <w:szCs w:val="24"/>
          <w:lang w:val="en-US"/>
        </w:rPr>
        <w:instrText xml:space="preserve">ADDIN Mendeley Bibliography CSL_BIBLIOGRAPHY </w:instrText>
      </w:r>
      <w:r>
        <w:rPr>
          <w:rFonts w:ascii="Times New Roman" w:hAnsi="Times New Roman" w:cs="Times New Roman"/>
          <w:b/>
          <w:sz w:val="24"/>
          <w:szCs w:val="24"/>
          <w:lang w:val="en-US"/>
        </w:rPr>
        <w:fldChar w:fldCharType="separate"/>
      </w:r>
      <w:r w:rsidRPr="00F711B3">
        <w:rPr>
          <w:rFonts w:ascii="Times New Roman" w:hAnsi="Times New Roman" w:cs="Times New Roman"/>
          <w:noProof/>
          <w:sz w:val="24"/>
          <w:szCs w:val="24"/>
        </w:rPr>
        <w:t xml:space="preserve">Brewer, N. T., Chapman, G. B., Gibbons, F. X., Gerrard, M., McCaul, K. D., &amp; Weinstein, N. D. (2007). Meta-analysis of the relationship between risk perception and health behavior: The example of vaccination. </w:t>
      </w:r>
      <w:r w:rsidRPr="00F711B3">
        <w:rPr>
          <w:rFonts w:ascii="Times New Roman" w:hAnsi="Times New Roman" w:cs="Times New Roman"/>
          <w:i/>
          <w:iCs/>
          <w:noProof/>
          <w:sz w:val="24"/>
          <w:szCs w:val="24"/>
        </w:rPr>
        <w:t>Health Psychology</w:t>
      </w:r>
      <w:r w:rsidRPr="00F711B3">
        <w:rPr>
          <w:rFonts w:ascii="Times New Roman" w:hAnsi="Times New Roman" w:cs="Times New Roman"/>
          <w:noProof/>
          <w:sz w:val="24"/>
          <w:szCs w:val="24"/>
        </w:rPr>
        <w:t xml:space="preserve">, </w:t>
      </w:r>
      <w:r w:rsidRPr="00F711B3">
        <w:rPr>
          <w:rFonts w:ascii="Times New Roman" w:hAnsi="Times New Roman" w:cs="Times New Roman"/>
          <w:i/>
          <w:iCs/>
          <w:noProof/>
          <w:sz w:val="24"/>
          <w:szCs w:val="24"/>
        </w:rPr>
        <w:t>26</w:t>
      </w:r>
      <w:r w:rsidRPr="00F711B3">
        <w:rPr>
          <w:rFonts w:ascii="Times New Roman" w:hAnsi="Times New Roman" w:cs="Times New Roman"/>
          <w:noProof/>
          <w:sz w:val="24"/>
          <w:szCs w:val="24"/>
        </w:rPr>
        <w:t>(2), 136–145. https://doi.org/10.1037/0278-6133.26.2.136</w:t>
      </w:r>
    </w:p>
    <w:p w:rsidR="00B01217" w:rsidRPr="00F711B3" w:rsidRDefault="00B01217" w:rsidP="00B01217">
      <w:pPr>
        <w:widowControl w:val="0"/>
        <w:autoSpaceDE w:val="0"/>
        <w:autoSpaceDN w:val="0"/>
        <w:adjustRightInd w:val="0"/>
        <w:spacing w:line="240" w:lineRule="auto"/>
        <w:ind w:left="480" w:hanging="480"/>
        <w:rPr>
          <w:rFonts w:ascii="Times New Roman" w:hAnsi="Times New Roman" w:cs="Times New Roman"/>
          <w:noProof/>
          <w:sz w:val="24"/>
          <w:szCs w:val="24"/>
        </w:rPr>
      </w:pPr>
      <w:r w:rsidRPr="00F711B3">
        <w:rPr>
          <w:rFonts w:ascii="Times New Roman" w:hAnsi="Times New Roman" w:cs="Times New Roman"/>
          <w:noProof/>
          <w:sz w:val="24"/>
          <w:szCs w:val="24"/>
        </w:rPr>
        <w:t xml:space="preserve">Loayza, N. V, &amp; Pennings, S. (2020). </w:t>
      </w:r>
      <w:r w:rsidRPr="00F711B3">
        <w:rPr>
          <w:rFonts w:ascii="Times New Roman" w:hAnsi="Times New Roman" w:cs="Times New Roman"/>
          <w:i/>
          <w:iCs/>
          <w:noProof/>
          <w:sz w:val="24"/>
          <w:szCs w:val="24"/>
        </w:rPr>
        <w:t>Research &amp; Policy Briefs Macroeconomic Policy in the Time of COVID-19 : A Primer for Developing Countries</w:t>
      </w:r>
      <w:r w:rsidRPr="00F711B3">
        <w:rPr>
          <w:rFonts w:ascii="Times New Roman" w:hAnsi="Times New Roman" w:cs="Times New Roman"/>
          <w:noProof/>
          <w:sz w:val="24"/>
          <w:szCs w:val="24"/>
        </w:rPr>
        <w:t xml:space="preserve">. </w:t>
      </w:r>
      <w:r w:rsidRPr="00F711B3">
        <w:rPr>
          <w:rFonts w:ascii="Times New Roman" w:hAnsi="Times New Roman" w:cs="Times New Roman"/>
          <w:i/>
          <w:iCs/>
          <w:noProof/>
          <w:sz w:val="24"/>
          <w:szCs w:val="24"/>
        </w:rPr>
        <w:t>28</w:t>
      </w:r>
      <w:r w:rsidRPr="00F711B3">
        <w:rPr>
          <w:rFonts w:ascii="Times New Roman" w:hAnsi="Times New Roman" w:cs="Times New Roman"/>
          <w:noProof/>
          <w:sz w:val="24"/>
          <w:szCs w:val="24"/>
        </w:rPr>
        <w:t>.</w:t>
      </w:r>
    </w:p>
    <w:p w:rsidR="00B01217" w:rsidRPr="00F711B3" w:rsidRDefault="00B01217" w:rsidP="00B01217">
      <w:pPr>
        <w:widowControl w:val="0"/>
        <w:autoSpaceDE w:val="0"/>
        <w:autoSpaceDN w:val="0"/>
        <w:adjustRightInd w:val="0"/>
        <w:spacing w:line="240" w:lineRule="auto"/>
        <w:ind w:left="480" w:hanging="480"/>
        <w:rPr>
          <w:rFonts w:ascii="Times New Roman" w:hAnsi="Times New Roman" w:cs="Times New Roman"/>
          <w:noProof/>
          <w:sz w:val="24"/>
          <w:szCs w:val="24"/>
        </w:rPr>
      </w:pPr>
      <w:r w:rsidRPr="00F711B3">
        <w:rPr>
          <w:rFonts w:ascii="Times New Roman" w:hAnsi="Times New Roman" w:cs="Times New Roman"/>
          <w:noProof/>
          <w:sz w:val="24"/>
          <w:szCs w:val="24"/>
        </w:rPr>
        <w:t xml:space="preserve">Patel, J. A., Nielsen, F. B. H., &amp; Badiani, A. A. (2020). </w:t>
      </w:r>
      <w:r w:rsidRPr="00F711B3">
        <w:rPr>
          <w:rFonts w:ascii="Times New Roman" w:hAnsi="Times New Roman" w:cs="Times New Roman"/>
          <w:i/>
          <w:iCs/>
          <w:noProof/>
          <w:sz w:val="24"/>
          <w:szCs w:val="24"/>
        </w:rPr>
        <w:t>Poverty, inequality and COVID-19: the forgotten vulnerable</w:t>
      </w:r>
      <w:r w:rsidRPr="00F711B3">
        <w:rPr>
          <w:rFonts w:ascii="Times New Roman" w:hAnsi="Times New Roman" w:cs="Times New Roman"/>
          <w:noProof/>
          <w:sz w:val="24"/>
          <w:szCs w:val="24"/>
        </w:rPr>
        <w:t xml:space="preserve">. </w:t>
      </w:r>
      <w:r w:rsidRPr="00F711B3">
        <w:rPr>
          <w:rFonts w:ascii="Times New Roman" w:hAnsi="Times New Roman" w:cs="Times New Roman"/>
          <w:i/>
          <w:iCs/>
          <w:noProof/>
          <w:sz w:val="24"/>
          <w:szCs w:val="24"/>
        </w:rPr>
        <w:t>January</w:t>
      </w:r>
      <w:r w:rsidRPr="00F711B3">
        <w:rPr>
          <w:rFonts w:ascii="Times New Roman" w:hAnsi="Times New Roman" w:cs="Times New Roman"/>
          <w:noProof/>
          <w:sz w:val="24"/>
          <w:szCs w:val="24"/>
        </w:rPr>
        <w:t>.</w:t>
      </w:r>
    </w:p>
    <w:p w:rsidR="00B01217" w:rsidRPr="00F711B3" w:rsidRDefault="00B01217" w:rsidP="00B01217">
      <w:pPr>
        <w:widowControl w:val="0"/>
        <w:autoSpaceDE w:val="0"/>
        <w:autoSpaceDN w:val="0"/>
        <w:adjustRightInd w:val="0"/>
        <w:spacing w:line="240" w:lineRule="auto"/>
        <w:ind w:left="480" w:hanging="480"/>
        <w:jc w:val="both"/>
        <w:rPr>
          <w:rFonts w:ascii="Times New Roman" w:hAnsi="Times New Roman" w:cs="Times New Roman"/>
          <w:noProof/>
          <w:sz w:val="24"/>
        </w:rPr>
      </w:pPr>
      <w:r w:rsidRPr="00F711B3">
        <w:rPr>
          <w:rFonts w:ascii="Times New Roman" w:hAnsi="Times New Roman" w:cs="Times New Roman"/>
          <w:noProof/>
          <w:sz w:val="24"/>
          <w:szCs w:val="24"/>
        </w:rPr>
        <w:t xml:space="preserve">Schlager, T., &amp; Whillans, A. V. (2022). People underestimate the probability of contracting the coronavirus from friends. </w:t>
      </w:r>
      <w:r w:rsidRPr="00F711B3">
        <w:rPr>
          <w:rFonts w:ascii="Times New Roman" w:hAnsi="Times New Roman" w:cs="Times New Roman"/>
          <w:i/>
          <w:iCs/>
          <w:noProof/>
          <w:sz w:val="24"/>
          <w:szCs w:val="24"/>
        </w:rPr>
        <w:t>Humanities and Social Sciences Communications</w:t>
      </w:r>
      <w:r w:rsidRPr="00F711B3">
        <w:rPr>
          <w:rFonts w:ascii="Times New Roman" w:hAnsi="Times New Roman" w:cs="Times New Roman"/>
          <w:noProof/>
          <w:sz w:val="24"/>
          <w:szCs w:val="24"/>
        </w:rPr>
        <w:t xml:space="preserve">, </w:t>
      </w:r>
      <w:r w:rsidRPr="00F711B3">
        <w:rPr>
          <w:rFonts w:ascii="Times New Roman" w:hAnsi="Times New Roman" w:cs="Times New Roman"/>
          <w:i/>
          <w:iCs/>
          <w:noProof/>
          <w:sz w:val="24"/>
          <w:szCs w:val="24"/>
        </w:rPr>
        <w:t>9</w:t>
      </w:r>
      <w:r w:rsidRPr="00F711B3">
        <w:rPr>
          <w:rFonts w:ascii="Times New Roman" w:hAnsi="Times New Roman" w:cs="Times New Roman"/>
          <w:noProof/>
          <w:sz w:val="24"/>
          <w:szCs w:val="24"/>
        </w:rPr>
        <w:t>(1), 1–11. https://doi.org/10.1057/s41599-022-01052-4</w:t>
      </w:r>
    </w:p>
    <w:p w:rsidR="00B01217" w:rsidRPr="004F36D7" w:rsidRDefault="00B01217" w:rsidP="00B01217">
      <w:pPr>
        <w:pStyle w:val="ListParagraph"/>
        <w:ind w:left="1440"/>
        <w:jc w:val="center"/>
        <w:rPr>
          <w:rFonts w:ascii="Times New Roman" w:hAnsi="Times New Roman" w:cs="Times New Roman"/>
          <w:b/>
          <w:sz w:val="24"/>
          <w:szCs w:val="24"/>
          <w:lang w:val="en-US"/>
        </w:rPr>
      </w:pPr>
      <w:r>
        <w:rPr>
          <w:rFonts w:ascii="Times New Roman" w:hAnsi="Times New Roman" w:cs="Times New Roman"/>
          <w:b/>
          <w:sz w:val="24"/>
          <w:szCs w:val="24"/>
          <w:lang w:val="en-US"/>
        </w:rPr>
        <w:fldChar w:fldCharType="end"/>
      </w:r>
    </w:p>
    <w:p w:rsidR="00B01217" w:rsidRDefault="00B01217" w:rsidP="00B01217">
      <w:pPr>
        <w:pStyle w:val="Heading1"/>
      </w:pPr>
      <w:bookmarkStart w:id="59" w:name="page1"/>
      <w:bookmarkEnd w:id="59"/>
    </w:p>
    <w:p w:rsidR="0040044D" w:rsidRDefault="00342BE3"/>
    <w:sectPr w:rsidR="0040044D" w:rsidSect="00D47991">
      <w:footerReference w:type="default" r:id="rId16"/>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BE3" w:rsidRDefault="00342BE3">
      <w:pPr>
        <w:spacing w:after="0" w:line="240" w:lineRule="auto"/>
      </w:pPr>
      <w:r>
        <w:separator/>
      </w:r>
    </w:p>
  </w:endnote>
  <w:endnote w:type="continuationSeparator" w:id="0">
    <w:p w:rsidR="00342BE3" w:rsidRDefault="00342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965586"/>
      <w:docPartObj>
        <w:docPartGallery w:val="Page Numbers (Bottom of Page)"/>
        <w:docPartUnique/>
      </w:docPartObj>
    </w:sdtPr>
    <w:sdtEndPr>
      <w:rPr>
        <w:noProof/>
      </w:rPr>
    </w:sdtEndPr>
    <w:sdtContent>
      <w:p w:rsidR="00ED61EF" w:rsidRDefault="00AE5B02">
        <w:pPr>
          <w:pStyle w:val="Footer"/>
          <w:jc w:val="center"/>
        </w:pPr>
        <w:r>
          <w:fldChar w:fldCharType="begin"/>
        </w:r>
        <w:r>
          <w:instrText xml:space="preserve"> PAGE   \* MERGEFORMAT </w:instrText>
        </w:r>
        <w:r>
          <w:fldChar w:fldCharType="separate"/>
        </w:r>
        <w:r w:rsidR="00B9359E">
          <w:rPr>
            <w:noProof/>
          </w:rPr>
          <w:t>vi</w:t>
        </w:r>
        <w:r>
          <w:rPr>
            <w:noProof/>
          </w:rPr>
          <w:fldChar w:fldCharType="end"/>
        </w:r>
      </w:p>
    </w:sdtContent>
  </w:sdt>
  <w:p w:rsidR="00ED61EF" w:rsidRDefault="00342B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7818763"/>
      <w:docPartObj>
        <w:docPartGallery w:val="Page Numbers (Bottom of Page)"/>
        <w:docPartUnique/>
      </w:docPartObj>
    </w:sdtPr>
    <w:sdtEndPr>
      <w:rPr>
        <w:noProof/>
      </w:rPr>
    </w:sdtEndPr>
    <w:sdtContent>
      <w:p w:rsidR="00ED61EF" w:rsidRDefault="00AE5B02">
        <w:pPr>
          <w:pStyle w:val="Footer"/>
          <w:jc w:val="center"/>
        </w:pPr>
        <w:r>
          <w:fldChar w:fldCharType="begin"/>
        </w:r>
        <w:r>
          <w:instrText xml:space="preserve"> PAGE   \* MERGEFORMAT </w:instrText>
        </w:r>
        <w:r>
          <w:fldChar w:fldCharType="separate"/>
        </w:r>
        <w:r w:rsidR="00B9359E">
          <w:rPr>
            <w:noProof/>
          </w:rPr>
          <w:t>20</w:t>
        </w:r>
        <w:r>
          <w:rPr>
            <w:noProof/>
          </w:rPr>
          <w:fldChar w:fldCharType="end"/>
        </w:r>
      </w:p>
    </w:sdtContent>
  </w:sdt>
  <w:p w:rsidR="00ED61EF" w:rsidRPr="001510FB" w:rsidRDefault="00342BE3" w:rsidP="004A277F">
    <w:pPr>
      <w:pStyle w:val="Footer"/>
      <w:rPr>
        <w:i/>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BE3" w:rsidRDefault="00342BE3">
      <w:pPr>
        <w:spacing w:after="0" w:line="240" w:lineRule="auto"/>
      </w:pPr>
      <w:r>
        <w:separator/>
      </w:r>
    </w:p>
  </w:footnote>
  <w:footnote w:type="continuationSeparator" w:id="0">
    <w:p w:rsidR="00342BE3" w:rsidRDefault="00342B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03A5"/>
    <w:multiLevelType w:val="multilevel"/>
    <w:tmpl w:val="DB526240"/>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3D0EB1"/>
    <w:multiLevelType w:val="multilevel"/>
    <w:tmpl w:val="9D86B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2C65AB"/>
    <w:multiLevelType w:val="hybridMultilevel"/>
    <w:tmpl w:val="42DEC36E"/>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3D129A4"/>
    <w:multiLevelType w:val="multilevel"/>
    <w:tmpl w:val="5F1A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2C4530"/>
    <w:multiLevelType w:val="hybridMultilevel"/>
    <w:tmpl w:val="FC142900"/>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8E4494D"/>
    <w:multiLevelType w:val="hybridMultilevel"/>
    <w:tmpl w:val="A7AC0710"/>
    <w:lvl w:ilvl="0" w:tplc="2000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63E89"/>
    <w:multiLevelType w:val="hybridMultilevel"/>
    <w:tmpl w:val="C204A51C"/>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442C35"/>
    <w:multiLevelType w:val="hybridMultilevel"/>
    <w:tmpl w:val="586C8BC0"/>
    <w:lvl w:ilvl="0" w:tplc="04090003">
      <w:start w:val="1"/>
      <w:numFmt w:val="bullet"/>
      <w:lvlText w:val="o"/>
      <w:lvlJc w:val="left"/>
      <w:pPr>
        <w:ind w:left="820" w:hanging="360"/>
      </w:pPr>
      <w:rPr>
        <w:rFonts w:ascii="Courier New" w:hAnsi="Courier New" w:cs="Courier New"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8" w15:restartNumberingAfterBreak="0">
    <w:nsid w:val="236218DB"/>
    <w:multiLevelType w:val="hybridMultilevel"/>
    <w:tmpl w:val="A1AA862C"/>
    <w:lvl w:ilvl="0" w:tplc="CF28C10C">
      <w:start w:val="1"/>
      <w:numFmt w:val="lowerLetter"/>
      <w:lvlText w:val="%1)"/>
      <w:lvlJc w:val="left"/>
      <w:pPr>
        <w:ind w:left="1080" w:hanging="360"/>
      </w:pPr>
      <w:rPr>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7ED5785"/>
    <w:multiLevelType w:val="hybridMultilevel"/>
    <w:tmpl w:val="BF9080B0"/>
    <w:lvl w:ilvl="0" w:tplc="B58896FC">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EB87795"/>
    <w:multiLevelType w:val="multilevel"/>
    <w:tmpl w:val="A7CCDA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FE35109"/>
    <w:multiLevelType w:val="hybridMultilevel"/>
    <w:tmpl w:val="F4B0870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6AFA85CA">
      <w:start w:val="1"/>
      <w:numFmt w:val="lowerLetter"/>
      <w:lvlText w:val="%3."/>
      <w:lvlJc w:val="left"/>
      <w:pPr>
        <w:ind w:left="2340" w:hanging="360"/>
      </w:pPr>
      <w:rPr>
        <w:b w:val="0"/>
        <w:bCs/>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C71D5"/>
    <w:multiLevelType w:val="hybridMultilevel"/>
    <w:tmpl w:val="82AA2CA4"/>
    <w:lvl w:ilvl="0" w:tplc="6AFA85CA">
      <w:start w:val="1"/>
      <w:numFmt w:val="lowerLetter"/>
      <w:lvlText w:val="%1."/>
      <w:lvlJc w:val="left"/>
      <w:pPr>
        <w:ind w:left="720" w:hanging="360"/>
      </w:pPr>
      <w:rPr>
        <w:b w:val="0"/>
        <w:bCs/>
      </w:rPr>
    </w:lvl>
    <w:lvl w:ilvl="1" w:tplc="08090019">
      <w:start w:val="1"/>
      <w:numFmt w:val="lowerLetter"/>
      <w:lvlText w:val="%2."/>
      <w:lvlJc w:val="left"/>
      <w:pPr>
        <w:ind w:left="-180" w:hanging="360"/>
      </w:pPr>
    </w:lvl>
    <w:lvl w:ilvl="2" w:tplc="0809001B">
      <w:start w:val="1"/>
      <w:numFmt w:val="lowerRoman"/>
      <w:lvlText w:val="%3."/>
      <w:lvlJc w:val="right"/>
      <w:pPr>
        <w:ind w:left="540" w:hanging="180"/>
      </w:pPr>
    </w:lvl>
    <w:lvl w:ilvl="3" w:tplc="0809000F">
      <w:start w:val="1"/>
      <w:numFmt w:val="decimal"/>
      <w:lvlText w:val="%4."/>
      <w:lvlJc w:val="left"/>
      <w:pPr>
        <w:ind w:left="1260" w:hanging="360"/>
      </w:pPr>
    </w:lvl>
    <w:lvl w:ilvl="4" w:tplc="08090019" w:tentative="1">
      <w:start w:val="1"/>
      <w:numFmt w:val="lowerLetter"/>
      <w:lvlText w:val="%5."/>
      <w:lvlJc w:val="left"/>
      <w:pPr>
        <w:ind w:left="1980" w:hanging="360"/>
      </w:pPr>
    </w:lvl>
    <w:lvl w:ilvl="5" w:tplc="0809001B" w:tentative="1">
      <w:start w:val="1"/>
      <w:numFmt w:val="lowerRoman"/>
      <w:lvlText w:val="%6."/>
      <w:lvlJc w:val="right"/>
      <w:pPr>
        <w:ind w:left="2700" w:hanging="180"/>
      </w:pPr>
    </w:lvl>
    <w:lvl w:ilvl="6" w:tplc="0809000F" w:tentative="1">
      <w:start w:val="1"/>
      <w:numFmt w:val="decimal"/>
      <w:lvlText w:val="%7."/>
      <w:lvlJc w:val="left"/>
      <w:pPr>
        <w:ind w:left="3420" w:hanging="360"/>
      </w:pPr>
    </w:lvl>
    <w:lvl w:ilvl="7" w:tplc="08090019" w:tentative="1">
      <w:start w:val="1"/>
      <w:numFmt w:val="lowerLetter"/>
      <w:lvlText w:val="%8."/>
      <w:lvlJc w:val="left"/>
      <w:pPr>
        <w:ind w:left="4140" w:hanging="360"/>
      </w:pPr>
    </w:lvl>
    <w:lvl w:ilvl="8" w:tplc="0809001B" w:tentative="1">
      <w:start w:val="1"/>
      <w:numFmt w:val="lowerRoman"/>
      <w:lvlText w:val="%9."/>
      <w:lvlJc w:val="right"/>
      <w:pPr>
        <w:ind w:left="4860" w:hanging="180"/>
      </w:pPr>
    </w:lvl>
  </w:abstractNum>
  <w:abstractNum w:abstractNumId="13" w15:restartNumberingAfterBreak="0">
    <w:nsid w:val="3AB740FC"/>
    <w:multiLevelType w:val="hybridMultilevel"/>
    <w:tmpl w:val="97983A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DB0CCE"/>
    <w:multiLevelType w:val="hybridMultilevel"/>
    <w:tmpl w:val="10726A96"/>
    <w:lvl w:ilvl="0" w:tplc="04244C9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F4484F"/>
    <w:multiLevelType w:val="hybridMultilevel"/>
    <w:tmpl w:val="800CF496"/>
    <w:lvl w:ilvl="0" w:tplc="04090003">
      <w:start w:val="1"/>
      <w:numFmt w:val="bullet"/>
      <w:lvlText w:val="o"/>
      <w:lvlJc w:val="left"/>
      <w:pPr>
        <w:ind w:left="764" w:hanging="360"/>
      </w:pPr>
      <w:rPr>
        <w:rFonts w:ascii="Courier New" w:hAnsi="Courier New" w:cs="Courier New"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6" w15:restartNumberingAfterBreak="0">
    <w:nsid w:val="5347038F"/>
    <w:multiLevelType w:val="hybridMultilevel"/>
    <w:tmpl w:val="5580A42C"/>
    <w:lvl w:ilvl="0" w:tplc="A8C2B81E">
      <w:numFmt w:val="bullet"/>
      <w:lvlText w:val="□"/>
      <w:lvlJc w:val="left"/>
      <w:pPr>
        <w:ind w:left="556" w:hanging="176"/>
      </w:pPr>
      <w:rPr>
        <w:rFonts w:ascii="Segoe UI" w:eastAsia="Segoe UI" w:hAnsi="Segoe UI" w:cs="Segoe UI" w:hint="default"/>
        <w:spacing w:val="-8"/>
        <w:w w:val="100"/>
        <w:sz w:val="20"/>
        <w:szCs w:val="20"/>
        <w:lang w:val="en-US" w:eastAsia="en-US" w:bidi="en-US"/>
      </w:rPr>
    </w:lvl>
    <w:lvl w:ilvl="1" w:tplc="DDEE96FA">
      <w:numFmt w:val="bullet"/>
      <w:lvlText w:val="•"/>
      <w:lvlJc w:val="left"/>
      <w:pPr>
        <w:ind w:left="780" w:hanging="176"/>
      </w:pPr>
      <w:rPr>
        <w:rFonts w:hint="default"/>
        <w:lang w:val="en-US" w:eastAsia="en-US" w:bidi="en-US"/>
      </w:rPr>
    </w:lvl>
    <w:lvl w:ilvl="2" w:tplc="9976F1CC">
      <w:numFmt w:val="bullet"/>
      <w:lvlText w:val="•"/>
      <w:lvlJc w:val="left"/>
      <w:pPr>
        <w:ind w:left="1971" w:hanging="176"/>
      </w:pPr>
      <w:rPr>
        <w:rFonts w:hint="default"/>
        <w:lang w:val="en-US" w:eastAsia="en-US" w:bidi="en-US"/>
      </w:rPr>
    </w:lvl>
    <w:lvl w:ilvl="3" w:tplc="B9AA3DFE">
      <w:numFmt w:val="bullet"/>
      <w:lvlText w:val="•"/>
      <w:lvlJc w:val="left"/>
      <w:pPr>
        <w:ind w:left="3162" w:hanging="176"/>
      </w:pPr>
      <w:rPr>
        <w:rFonts w:hint="default"/>
        <w:lang w:val="en-US" w:eastAsia="en-US" w:bidi="en-US"/>
      </w:rPr>
    </w:lvl>
    <w:lvl w:ilvl="4" w:tplc="BCE04C28">
      <w:numFmt w:val="bullet"/>
      <w:lvlText w:val="•"/>
      <w:lvlJc w:val="left"/>
      <w:pPr>
        <w:ind w:left="4353" w:hanging="176"/>
      </w:pPr>
      <w:rPr>
        <w:rFonts w:hint="default"/>
        <w:lang w:val="en-US" w:eastAsia="en-US" w:bidi="en-US"/>
      </w:rPr>
    </w:lvl>
    <w:lvl w:ilvl="5" w:tplc="1104282A">
      <w:numFmt w:val="bullet"/>
      <w:lvlText w:val="•"/>
      <w:lvlJc w:val="left"/>
      <w:pPr>
        <w:ind w:left="5544" w:hanging="176"/>
      </w:pPr>
      <w:rPr>
        <w:rFonts w:hint="default"/>
        <w:lang w:val="en-US" w:eastAsia="en-US" w:bidi="en-US"/>
      </w:rPr>
    </w:lvl>
    <w:lvl w:ilvl="6" w:tplc="48FC68A8">
      <w:numFmt w:val="bullet"/>
      <w:lvlText w:val="•"/>
      <w:lvlJc w:val="left"/>
      <w:pPr>
        <w:ind w:left="6735" w:hanging="176"/>
      </w:pPr>
      <w:rPr>
        <w:rFonts w:hint="default"/>
        <w:lang w:val="en-US" w:eastAsia="en-US" w:bidi="en-US"/>
      </w:rPr>
    </w:lvl>
    <w:lvl w:ilvl="7" w:tplc="955A05D0">
      <w:numFmt w:val="bullet"/>
      <w:lvlText w:val="•"/>
      <w:lvlJc w:val="left"/>
      <w:pPr>
        <w:ind w:left="7926" w:hanging="176"/>
      </w:pPr>
      <w:rPr>
        <w:rFonts w:hint="default"/>
        <w:lang w:val="en-US" w:eastAsia="en-US" w:bidi="en-US"/>
      </w:rPr>
    </w:lvl>
    <w:lvl w:ilvl="8" w:tplc="5784CFA8">
      <w:numFmt w:val="bullet"/>
      <w:lvlText w:val="•"/>
      <w:lvlJc w:val="left"/>
      <w:pPr>
        <w:ind w:left="9117" w:hanging="176"/>
      </w:pPr>
      <w:rPr>
        <w:rFonts w:hint="default"/>
        <w:lang w:val="en-US" w:eastAsia="en-US" w:bidi="en-US"/>
      </w:rPr>
    </w:lvl>
  </w:abstractNum>
  <w:abstractNum w:abstractNumId="17" w15:restartNumberingAfterBreak="0">
    <w:nsid w:val="538B47BA"/>
    <w:multiLevelType w:val="multilevel"/>
    <w:tmpl w:val="FEF2405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829718C"/>
    <w:multiLevelType w:val="hybridMultilevel"/>
    <w:tmpl w:val="B18AA632"/>
    <w:lvl w:ilvl="0" w:tplc="40C67E88">
      <w:start w:val="1"/>
      <w:numFmt w:val="decimal"/>
      <w:lvlText w:val="%1."/>
      <w:lvlJc w:val="left"/>
      <w:pPr>
        <w:ind w:left="1080" w:hanging="360"/>
      </w:pPr>
      <w:rPr>
        <w:b/>
        <w:i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9" w15:restartNumberingAfterBreak="0">
    <w:nsid w:val="5BFD4C1E"/>
    <w:multiLevelType w:val="multilevel"/>
    <w:tmpl w:val="B6C4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1427AF9"/>
    <w:multiLevelType w:val="multilevel"/>
    <w:tmpl w:val="C630976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58D1559"/>
    <w:multiLevelType w:val="multilevel"/>
    <w:tmpl w:val="364086D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C5F5863"/>
    <w:multiLevelType w:val="hybridMultilevel"/>
    <w:tmpl w:val="144E35FA"/>
    <w:lvl w:ilvl="0" w:tplc="08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72184A6E"/>
    <w:multiLevelType w:val="multilevel"/>
    <w:tmpl w:val="2B9C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9E61AA"/>
    <w:multiLevelType w:val="multilevel"/>
    <w:tmpl w:val="0192BB1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3F00B97"/>
    <w:multiLevelType w:val="multilevel"/>
    <w:tmpl w:val="A3FA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847018B"/>
    <w:multiLevelType w:val="multilevel"/>
    <w:tmpl w:val="CDA24898"/>
    <w:lvl w:ilvl="0">
      <w:start w:val="1"/>
      <w:numFmt w:val="lowerRoman"/>
      <w:lvlText w:val="%1)"/>
      <w:lvlJc w:val="left"/>
      <w:pPr>
        <w:ind w:left="1710" w:hanging="72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C9813F5"/>
    <w:multiLevelType w:val="multilevel"/>
    <w:tmpl w:val="9650091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8" w15:restartNumberingAfterBreak="0">
    <w:nsid w:val="7E810216"/>
    <w:multiLevelType w:val="hybridMultilevel"/>
    <w:tmpl w:val="5B80A4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E713B7"/>
    <w:multiLevelType w:val="multilevel"/>
    <w:tmpl w:val="2D5212B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27"/>
  </w:num>
  <w:num w:numId="2">
    <w:abstractNumId w:val="10"/>
  </w:num>
  <w:num w:numId="3">
    <w:abstractNumId w:val="1"/>
  </w:num>
  <w:num w:numId="4">
    <w:abstractNumId w:val="21"/>
  </w:num>
  <w:num w:numId="5">
    <w:abstractNumId w:val="29"/>
  </w:num>
  <w:num w:numId="6">
    <w:abstractNumId w:val="14"/>
  </w:num>
  <w:num w:numId="7">
    <w:abstractNumId w:val="28"/>
  </w:num>
  <w:num w:numId="8">
    <w:abstractNumId w:val="17"/>
  </w:num>
  <w:num w:numId="9">
    <w:abstractNumId w:val="26"/>
  </w:num>
  <w:num w:numId="10">
    <w:abstractNumId w:val="22"/>
  </w:num>
  <w:num w:numId="11">
    <w:abstractNumId w:val="4"/>
  </w:num>
  <w:num w:numId="12">
    <w:abstractNumId w:val="9"/>
  </w:num>
  <w:num w:numId="13">
    <w:abstractNumId w:val="2"/>
  </w:num>
  <w:num w:numId="14">
    <w:abstractNumId w:val="24"/>
  </w:num>
  <w:num w:numId="15">
    <w:abstractNumId w:val="23"/>
  </w:num>
  <w:num w:numId="16">
    <w:abstractNumId w:val="0"/>
  </w:num>
  <w:num w:numId="17">
    <w:abstractNumId w:val="20"/>
  </w:num>
  <w:num w:numId="18">
    <w:abstractNumId w:val="18"/>
  </w:num>
  <w:num w:numId="19">
    <w:abstractNumId w:val="16"/>
  </w:num>
  <w:num w:numId="20">
    <w:abstractNumId w:val="11"/>
  </w:num>
  <w:num w:numId="21">
    <w:abstractNumId w:val="12"/>
  </w:num>
  <w:num w:numId="22">
    <w:abstractNumId w:val="8"/>
  </w:num>
  <w:num w:numId="23">
    <w:abstractNumId w:val="13"/>
  </w:num>
  <w:num w:numId="24">
    <w:abstractNumId w:val="7"/>
  </w:num>
  <w:num w:numId="25">
    <w:abstractNumId w:val="15"/>
  </w:num>
  <w:num w:numId="26">
    <w:abstractNumId w:val="5"/>
  </w:num>
  <w:num w:numId="27">
    <w:abstractNumId w:val="19"/>
  </w:num>
  <w:num w:numId="28">
    <w:abstractNumId w:val="3"/>
  </w:num>
  <w:num w:numId="29">
    <w:abstractNumId w:val="25"/>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217"/>
    <w:rsid w:val="0011563E"/>
    <w:rsid w:val="00342BE3"/>
    <w:rsid w:val="00440870"/>
    <w:rsid w:val="00644A70"/>
    <w:rsid w:val="007A41B0"/>
    <w:rsid w:val="00A9111B"/>
    <w:rsid w:val="00AE5B02"/>
    <w:rsid w:val="00B01217"/>
    <w:rsid w:val="00B92EED"/>
    <w:rsid w:val="00B9359E"/>
    <w:rsid w:val="00D77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826B4D-CA56-4585-94C2-9D09A539C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1217"/>
    <w:rPr>
      <w:rFonts w:ascii="Calibri" w:eastAsia="Calibri" w:hAnsi="Calibri" w:cs="Calibri"/>
      <w:lang w:eastAsia="en-GB"/>
    </w:rPr>
  </w:style>
  <w:style w:type="paragraph" w:styleId="Heading1">
    <w:name w:val="heading 1"/>
    <w:basedOn w:val="Normal"/>
    <w:next w:val="Normal"/>
    <w:link w:val="Heading1Char"/>
    <w:rsid w:val="00B01217"/>
    <w:pPr>
      <w:keepNext/>
      <w:keepLines/>
      <w:spacing w:before="480" w:after="120"/>
      <w:outlineLvl w:val="0"/>
    </w:pPr>
    <w:rPr>
      <w:b/>
      <w:sz w:val="48"/>
      <w:szCs w:val="48"/>
    </w:rPr>
  </w:style>
  <w:style w:type="paragraph" w:styleId="Heading2">
    <w:name w:val="heading 2"/>
    <w:basedOn w:val="Normal"/>
    <w:next w:val="Normal"/>
    <w:link w:val="Heading2Char"/>
    <w:rsid w:val="00B01217"/>
    <w:pPr>
      <w:keepNext/>
      <w:keepLines/>
      <w:spacing w:before="360" w:after="80"/>
      <w:outlineLvl w:val="1"/>
    </w:pPr>
    <w:rPr>
      <w:b/>
      <w:sz w:val="36"/>
      <w:szCs w:val="36"/>
    </w:rPr>
  </w:style>
  <w:style w:type="paragraph" w:styleId="Heading3">
    <w:name w:val="heading 3"/>
    <w:basedOn w:val="Normal"/>
    <w:next w:val="Normal"/>
    <w:link w:val="Heading3Char"/>
    <w:rsid w:val="00B01217"/>
    <w:pPr>
      <w:keepNext/>
      <w:keepLines/>
      <w:spacing w:before="280" w:after="80"/>
      <w:outlineLvl w:val="2"/>
    </w:pPr>
    <w:rPr>
      <w:b/>
      <w:sz w:val="28"/>
      <w:szCs w:val="28"/>
    </w:rPr>
  </w:style>
  <w:style w:type="paragraph" w:styleId="Heading4">
    <w:name w:val="heading 4"/>
    <w:basedOn w:val="Normal"/>
    <w:next w:val="Normal"/>
    <w:link w:val="Heading4Char"/>
    <w:rsid w:val="00B01217"/>
    <w:pPr>
      <w:keepNext/>
      <w:keepLines/>
      <w:spacing w:before="240" w:after="40"/>
      <w:outlineLvl w:val="3"/>
    </w:pPr>
    <w:rPr>
      <w:b/>
      <w:sz w:val="24"/>
      <w:szCs w:val="24"/>
    </w:rPr>
  </w:style>
  <w:style w:type="paragraph" w:styleId="Heading5">
    <w:name w:val="heading 5"/>
    <w:basedOn w:val="Normal"/>
    <w:next w:val="Normal"/>
    <w:link w:val="Heading5Char"/>
    <w:rsid w:val="00B01217"/>
    <w:pPr>
      <w:keepNext/>
      <w:keepLines/>
      <w:spacing w:before="220" w:after="40"/>
      <w:outlineLvl w:val="4"/>
    </w:pPr>
    <w:rPr>
      <w:b/>
    </w:rPr>
  </w:style>
  <w:style w:type="paragraph" w:styleId="Heading6">
    <w:name w:val="heading 6"/>
    <w:basedOn w:val="Normal"/>
    <w:next w:val="Normal"/>
    <w:link w:val="Heading6Char"/>
    <w:rsid w:val="00B0121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1217"/>
    <w:rPr>
      <w:rFonts w:ascii="Calibri" w:eastAsia="Calibri" w:hAnsi="Calibri" w:cs="Calibri"/>
      <w:b/>
      <w:sz w:val="48"/>
      <w:szCs w:val="48"/>
      <w:lang w:eastAsia="en-GB"/>
    </w:rPr>
  </w:style>
  <w:style w:type="character" w:customStyle="1" w:styleId="Heading2Char">
    <w:name w:val="Heading 2 Char"/>
    <w:basedOn w:val="DefaultParagraphFont"/>
    <w:link w:val="Heading2"/>
    <w:rsid w:val="00B01217"/>
    <w:rPr>
      <w:rFonts w:ascii="Calibri" w:eastAsia="Calibri" w:hAnsi="Calibri" w:cs="Calibri"/>
      <w:b/>
      <w:sz w:val="36"/>
      <w:szCs w:val="36"/>
      <w:lang w:eastAsia="en-GB"/>
    </w:rPr>
  </w:style>
  <w:style w:type="character" w:customStyle="1" w:styleId="Heading3Char">
    <w:name w:val="Heading 3 Char"/>
    <w:basedOn w:val="DefaultParagraphFont"/>
    <w:link w:val="Heading3"/>
    <w:rsid w:val="00B01217"/>
    <w:rPr>
      <w:rFonts w:ascii="Calibri" w:eastAsia="Calibri" w:hAnsi="Calibri" w:cs="Calibri"/>
      <w:b/>
      <w:sz w:val="28"/>
      <w:szCs w:val="28"/>
      <w:lang w:eastAsia="en-GB"/>
    </w:rPr>
  </w:style>
  <w:style w:type="character" w:customStyle="1" w:styleId="Heading4Char">
    <w:name w:val="Heading 4 Char"/>
    <w:basedOn w:val="DefaultParagraphFont"/>
    <w:link w:val="Heading4"/>
    <w:rsid w:val="00B01217"/>
    <w:rPr>
      <w:rFonts w:ascii="Calibri" w:eastAsia="Calibri" w:hAnsi="Calibri" w:cs="Calibri"/>
      <w:b/>
      <w:sz w:val="24"/>
      <w:szCs w:val="24"/>
      <w:lang w:eastAsia="en-GB"/>
    </w:rPr>
  </w:style>
  <w:style w:type="character" w:customStyle="1" w:styleId="Heading5Char">
    <w:name w:val="Heading 5 Char"/>
    <w:basedOn w:val="DefaultParagraphFont"/>
    <w:link w:val="Heading5"/>
    <w:rsid w:val="00B01217"/>
    <w:rPr>
      <w:rFonts w:ascii="Calibri" w:eastAsia="Calibri" w:hAnsi="Calibri" w:cs="Calibri"/>
      <w:b/>
      <w:lang w:eastAsia="en-GB"/>
    </w:rPr>
  </w:style>
  <w:style w:type="character" w:customStyle="1" w:styleId="Heading6Char">
    <w:name w:val="Heading 6 Char"/>
    <w:basedOn w:val="DefaultParagraphFont"/>
    <w:link w:val="Heading6"/>
    <w:rsid w:val="00B01217"/>
    <w:rPr>
      <w:rFonts w:ascii="Calibri" w:eastAsia="Calibri" w:hAnsi="Calibri" w:cs="Calibri"/>
      <w:b/>
      <w:sz w:val="20"/>
      <w:szCs w:val="20"/>
      <w:lang w:eastAsia="en-GB"/>
    </w:rPr>
  </w:style>
  <w:style w:type="paragraph" w:styleId="Title">
    <w:name w:val="Title"/>
    <w:basedOn w:val="Normal"/>
    <w:next w:val="Normal"/>
    <w:link w:val="TitleChar"/>
    <w:uiPriority w:val="10"/>
    <w:qFormat/>
    <w:rsid w:val="00B01217"/>
    <w:pPr>
      <w:spacing w:after="0" w:line="240" w:lineRule="auto"/>
      <w:contextualSpacing/>
    </w:pPr>
    <w:rPr>
      <w:rFonts w:ascii="Arial Black" w:eastAsiaTheme="majorEastAsia" w:hAnsi="Arial Black" w:cstheme="majorBidi"/>
      <w:spacing w:val="-10"/>
      <w:kern w:val="28"/>
      <w:sz w:val="32"/>
      <w:szCs w:val="56"/>
      <w:lang w:val="en-US"/>
    </w:rPr>
  </w:style>
  <w:style w:type="character" w:customStyle="1" w:styleId="TitleChar">
    <w:name w:val="Title Char"/>
    <w:basedOn w:val="DefaultParagraphFont"/>
    <w:link w:val="Title"/>
    <w:uiPriority w:val="10"/>
    <w:rsid w:val="00B01217"/>
    <w:rPr>
      <w:rFonts w:ascii="Arial Black" w:eastAsiaTheme="majorEastAsia" w:hAnsi="Arial Black" w:cstheme="majorBidi"/>
      <w:spacing w:val="-10"/>
      <w:kern w:val="28"/>
      <w:sz w:val="32"/>
      <w:szCs w:val="56"/>
      <w:lang w:val="en-US" w:eastAsia="en-GB"/>
    </w:rPr>
  </w:style>
  <w:style w:type="paragraph" w:styleId="ListParagraph">
    <w:name w:val="List Paragraph"/>
    <w:aliases w:val="Numbered Paragraph"/>
    <w:basedOn w:val="Normal"/>
    <w:uiPriority w:val="2"/>
    <w:qFormat/>
    <w:rsid w:val="00B01217"/>
    <w:pPr>
      <w:ind w:left="720"/>
      <w:contextualSpacing/>
    </w:pPr>
  </w:style>
  <w:style w:type="paragraph" w:styleId="Subtitle">
    <w:name w:val="Subtitle"/>
    <w:basedOn w:val="Normal"/>
    <w:next w:val="Normal"/>
    <w:link w:val="SubtitleChar"/>
    <w:rsid w:val="00B01217"/>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B01217"/>
    <w:rPr>
      <w:rFonts w:ascii="Georgia" w:eastAsia="Georgia" w:hAnsi="Georgia" w:cs="Georgia"/>
      <w:i/>
      <w:color w:val="666666"/>
      <w:sz w:val="48"/>
      <w:szCs w:val="48"/>
      <w:lang w:eastAsia="en-GB"/>
    </w:rPr>
  </w:style>
  <w:style w:type="table" w:styleId="TableGrid">
    <w:name w:val="Table Grid"/>
    <w:basedOn w:val="TableNormal"/>
    <w:rsid w:val="00B01217"/>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B01217"/>
    <w:pPr>
      <w:tabs>
        <w:tab w:val="center" w:pos="4513"/>
        <w:tab w:val="right" w:pos="9026"/>
      </w:tabs>
      <w:spacing w:after="0" w:line="240" w:lineRule="auto"/>
    </w:pPr>
  </w:style>
  <w:style w:type="character" w:customStyle="1" w:styleId="HeaderChar">
    <w:name w:val="Header Char"/>
    <w:basedOn w:val="DefaultParagraphFont"/>
    <w:link w:val="Header"/>
    <w:rsid w:val="00B01217"/>
    <w:rPr>
      <w:rFonts w:ascii="Calibri" w:eastAsia="Calibri" w:hAnsi="Calibri" w:cs="Calibri"/>
      <w:lang w:eastAsia="en-GB"/>
    </w:rPr>
  </w:style>
  <w:style w:type="paragraph" w:styleId="Footer">
    <w:name w:val="footer"/>
    <w:basedOn w:val="Normal"/>
    <w:link w:val="FooterChar"/>
    <w:uiPriority w:val="99"/>
    <w:unhideWhenUsed/>
    <w:rsid w:val="00B012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217"/>
    <w:rPr>
      <w:rFonts w:ascii="Calibri" w:eastAsia="Calibri" w:hAnsi="Calibri" w:cs="Calibri"/>
      <w:lang w:eastAsia="en-GB"/>
    </w:rPr>
  </w:style>
  <w:style w:type="paragraph" w:styleId="TOCHeading">
    <w:name w:val="TOC Heading"/>
    <w:basedOn w:val="Heading1"/>
    <w:next w:val="Normal"/>
    <w:uiPriority w:val="39"/>
    <w:unhideWhenUsed/>
    <w:qFormat/>
    <w:rsid w:val="00B01217"/>
    <w:pPr>
      <w:spacing w:before="240" w:after="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B01217"/>
    <w:pPr>
      <w:spacing w:after="100"/>
    </w:pPr>
  </w:style>
  <w:style w:type="paragraph" w:styleId="TOC2">
    <w:name w:val="toc 2"/>
    <w:basedOn w:val="Normal"/>
    <w:next w:val="Normal"/>
    <w:autoRedefine/>
    <w:uiPriority w:val="39"/>
    <w:unhideWhenUsed/>
    <w:rsid w:val="00B01217"/>
    <w:pPr>
      <w:spacing w:after="100"/>
      <w:ind w:left="220"/>
    </w:pPr>
  </w:style>
  <w:style w:type="paragraph" w:styleId="TOC3">
    <w:name w:val="toc 3"/>
    <w:basedOn w:val="Normal"/>
    <w:next w:val="Normal"/>
    <w:autoRedefine/>
    <w:uiPriority w:val="39"/>
    <w:unhideWhenUsed/>
    <w:rsid w:val="00B01217"/>
    <w:pPr>
      <w:spacing w:after="100"/>
      <w:ind w:left="440"/>
    </w:pPr>
  </w:style>
  <w:style w:type="character" w:styleId="Hyperlink">
    <w:name w:val="Hyperlink"/>
    <w:basedOn w:val="DefaultParagraphFont"/>
    <w:uiPriority w:val="99"/>
    <w:unhideWhenUsed/>
    <w:rsid w:val="00B01217"/>
    <w:rPr>
      <w:color w:val="0563C1" w:themeColor="hyperlink"/>
      <w:u w:val="single"/>
    </w:rPr>
  </w:style>
  <w:style w:type="paragraph" w:styleId="Caption">
    <w:name w:val="caption"/>
    <w:basedOn w:val="Normal"/>
    <w:next w:val="Normal"/>
    <w:uiPriority w:val="35"/>
    <w:unhideWhenUsed/>
    <w:qFormat/>
    <w:rsid w:val="00B012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1217"/>
    <w:pPr>
      <w:spacing w:after="0"/>
    </w:pPr>
  </w:style>
  <w:style w:type="paragraph" w:styleId="BodyTextIndent2">
    <w:name w:val="Body Text Indent 2"/>
    <w:basedOn w:val="Normal"/>
    <w:link w:val="BodyTextIndent2Char"/>
    <w:semiHidden/>
    <w:rsid w:val="00B01217"/>
    <w:pPr>
      <w:tabs>
        <w:tab w:val="left" w:pos="720"/>
        <w:tab w:val="left" w:pos="1325"/>
        <w:tab w:val="left" w:pos="2045"/>
        <w:tab w:val="left" w:pos="2880"/>
        <w:tab w:val="left" w:pos="3845"/>
        <w:tab w:val="left" w:pos="4925"/>
      </w:tabs>
      <w:spacing w:after="0" w:line="240" w:lineRule="auto"/>
      <w:ind w:left="720"/>
    </w:pPr>
    <w:rPr>
      <w:rFonts w:ascii="Times New Roman" w:eastAsia="Times New Roman" w:hAnsi="Times New Roman" w:cs="Times New Roman"/>
      <w:sz w:val="24"/>
      <w:szCs w:val="20"/>
      <w:lang w:val="x-none" w:eastAsia="x-none"/>
    </w:rPr>
  </w:style>
  <w:style w:type="character" w:customStyle="1" w:styleId="BodyTextIndent2Char">
    <w:name w:val="Body Text Indent 2 Char"/>
    <w:basedOn w:val="DefaultParagraphFont"/>
    <w:link w:val="BodyTextIndent2"/>
    <w:semiHidden/>
    <w:rsid w:val="00B01217"/>
    <w:rPr>
      <w:rFonts w:ascii="Times New Roman" w:eastAsia="Times New Roman" w:hAnsi="Times New Roman" w:cs="Times New Roman"/>
      <w:sz w:val="24"/>
      <w:szCs w:val="20"/>
      <w:lang w:val="x-none" w:eastAsia="x-none"/>
    </w:rPr>
  </w:style>
  <w:style w:type="paragraph" w:styleId="BodyText2">
    <w:name w:val="Body Text 2"/>
    <w:basedOn w:val="Normal"/>
    <w:link w:val="BodyText2Char"/>
    <w:semiHidden/>
    <w:rsid w:val="00B01217"/>
    <w:pPr>
      <w:spacing w:after="120" w:line="480" w:lineRule="auto"/>
    </w:pPr>
    <w:rPr>
      <w:rFonts w:ascii="Times New Roman" w:eastAsia="Times New Roman" w:hAnsi="Times New Roman" w:cs="Times New Roman"/>
      <w:sz w:val="20"/>
      <w:szCs w:val="20"/>
      <w:lang w:val="x-none" w:eastAsia="x-none"/>
    </w:rPr>
  </w:style>
  <w:style w:type="character" w:customStyle="1" w:styleId="BodyText2Char">
    <w:name w:val="Body Text 2 Char"/>
    <w:basedOn w:val="DefaultParagraphFont"/>
    <w:link w:val="BodyText2"/>
    <w:semiHidden/>
    <w:rsid w:val="00B01217"/>
    <w:rPr>
      <w:rFonts w:ascii="Times New Roman" w:eastAsia="Times New Roman" w:hAnsi="Times New Roman" w:cs="Times New Roman"/>
      <w:sz w:val="20"/>
      <w:szCs w:val="20"/>
      <w:lang w:val="x-none" w:eastAsia="x-none"/>
    </w:rPr>
  </w:style>
  <w:style w:type="paragraph" w:styleId="BodyText3">
    <w:name w:val="Body Text 3"/>
    <w:basedOn w:val="Normal"/>
    <w:link w:val="BodyText3Char"/>
    <w:semiHidden/>
    <w:rsid w:val="00B01217"/>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semiHidden/>
    <w:rsid w:val="00B01217"/>
    <w:rPr>
      <w:rFonts w:ascii="Times New Roman" w:eastAsia="Times New Roman" w:hAnsi="Times New Roman" w:cs="Times New Roman"/>
      <w:sz w:val="16"/>
      <w:szCs w:val="16"/>
      <w:lang w:val="x-none" w:eastAsia="x-none"/>
    </w:rPr>
  </w:style>
  <w:style w:type="character" w:styleId="PageNumber">
    <w:name w:val="page number"/>
    <w:basedOn w:val="DefaultParagraphFont"/>
    <w:semiHidden/>
    <w:rsid w:val="00B01217"/>
  </w:style>
  <w:style w:type="paragraph" w:customStyle="1" w:styleId="Default">
    <w:name w:val="Default"/>
    <w:rsid w:val="00B01217"/>
    <w:pPr>
      <w:autoSpaceDE w:val="0"/>
      <w:autoSpaceDN w:val="0"/>
      <w:adjustRightInd w:val="0"/>
      <w:spacing w:after="0" w:line="240" w:lineRule="auto"/>
    </w:pPr>
    <w:rPr>
      <w:rFonts w:ascii="Tahoma" w:eastAsia="Calibri" w:hAnsi="Tahoma" w:cs="Tahoma"/>
      <w:color w:val="000000"/>
      <w:sz w:val="24"/>
      <w:szCs w:val="24"/>
      <w:lang w:val="en-US"/>
    </w:rPr>
  </w:style>
  <w:style w:type="paragraph" w:customStyle="1" w:styleId="BodyA">
    <w:name w:val="Body A"/>
    <w:rsid w:val="00B0121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customStyle="1" w:styleId="CommentTextChar">
    <w:name w:val="Comment Text Char"/>
    <w:basedOn w:val="DefaultParagraphFont"/>
    <w:link w:val="CommentText"/>
    <w:uiPriority w:val="99"/>
    <w:semiHidden/>
    <w:rsid w:val="00B01217"/>
    <w:rPr>
      <w:rFonts w:ascii="Calibri" w:eastAsia="Calibri" w:hAnsi="Calibri" w:cs="Calibri"/>
      <w:sz w:val="20"/>
      <w:szCs w:val="20"/>
      <w:lang w:eastAsia="en-GB"/>
    </w:rPr>
  </w:style>
  <w:style w:type="paragraph" w:styleId="CommentText">
    <w:name w:val="annotation text"/>
    <w:basedOn w:val="Normal"/>
    <w:link w:val="CommentTextChar"/>
    <w:uiPriority w:val="99"/>
    <w:semiHidden/>
    <w:unhideWhenUsed/>
    <w:rsid w:val="00B01217"/>
    <w:pPr>
      <w:spacing w:line="240" w:lineRule="auto"/>
    </w:pPr>
    <w:rPr>
      <w:sz w:val="20"/>
      <w:szCs w:val="20"/>
    </w:rPr>
  </w:style>
  <w:style w:type="character" w:customStyle="1" w:styleId="CommentTextChar1">
    <w:name w:val="Comment Text Char1"/>
    <w:basedOn w:val="DefaultParagraphFont"/>
    <w:uiPriority w:val="99"/>
    <w:semiHidden/>
    <w:rsid w:val="00B01217"/>
    <w:rPr>
      <w:rFonts w:ascii="Calibri" w:eastAsia="Calibri" w:hAnsi="Calibri" w:cs="Calibri"/>
      <w:sz w:val="20"/>
      <w:szCs w:val="20"/>
      <w:lang w:eastAsia="en-GB"/>
    </w:rPr>
  </w:style>
  <w:style w:type="character" w:customStyle="1" w:styleId="CommentSubjectChar">
    <w:name w:val="Comment Subject Char"/>
    <w:basedOn w:val="CommentTextChar"/>
    <w:link w:val="CommentSubject"/>
    <w:uiPriority w:val="99"/>
    <w:semiHidden/>
    <w:rsid w:val="00B01217"/>
    <w:rPr>
      <w:rFonts w:ascii="Calibri" w:eastAsia="Calibri" w:hAnsi="Calibri" w:cs="Calibri"/>
      <w:b/>
      <w:bCs/>
      <w:sz w:val="20"/>
      <w:szCs w:val="20"/>
      <w:lang w:eastAsia="en-GB"/>
    </w:rPr>
  </w:style>
  <w:style w:type="paragraph" w:styleId="CommentSubject">
    <w:name w:val="annotation subject"/>
    <w:basedOn w:val="CommentText"/>
    <w:next w:val="CommentText"/>
    <w:link w:val="CommentSubjectChar"/>
    <w:uiPriority w:val="99"/>
    <w:semiHidden/>
    <w:unhideWhenUsed/>
    <w:rsid w:val="00B01217"/>
    <w:rPr>
      <w:b/>
      <w:bCs/>
    </w:rPr>
  </w:style>
  <w:style w:type="character" w:customStyle="1" w:styleId="CommentSubjectChar1">
    <w:name w:val="Comment Subject Char1"/>
    <w:basedOn w:val="CommentTextChar1"/>
    <w:uiPriority w:val="99"/>
    <w:semiHidden/>
    <w:rsid w:val="00B01217"/>
    <w:rPr>
      <w:rFonts w:ascii="Calibri" w:eastAsia="Calibri" w:hAnsi="Calibri" w:cs="Calibri"/>
      <w:b/>
      <w:bCs/>
      <w:sz w:val="20"/>
      <w:szCs w:val="20"/>
      <w:lang w:eastAsia="en-GB"/>
    </w:rPr>
  </w:style>
  <w:style w:type="character" w:customStyle="1" w:styleId="BalloonTextChar">
    <w:name w:val="Balloon Text Char"/>
    <w:basedOn w:val="DefaultParagraphFont"/>
    <w:link w:val="BalloonText"/>
    <w:uiPriority w:val="99"/>
    <w:semiHidden/>
    <w:rsid w:val="00B01217"/>
    <w:rPr>
      <w:rFonts w:ascii="Segoe UI" w:eastAsia="Calibri" w:hAnsi="Segoe UI" w:cs="Segoe UI"/>
      <w:sz w:val="18"/>
      <w:szCs w:val="18"/>
      <w:lang w:eastAsia="en-GB"/>
    </w:rPr>
  </w:style>
  <w:style w:type="paragraph" w:styleId="BalloonText">
    <w:name w:val="Balloon Text"/>
    <w:basedOn w:val="Normal"/>
    <w:link w:val="BalloonTextChar"/>
    <w:uiPriority w:val="99"/>
    <w:semiHidden/>
    <w:unhideWhenUsed/>
    <w:rsid w:val="00B01217"/>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B01217"/>
    <w:rPr>
      <w:rFonts w:ascii="Segoe UI" w:eastAsia="Calibri" w:hAnsi="Segoe UI" w:cs="Segoe UI"/>
      <w:sz w:val="18"/>
      <w:szCs w:val="18"/>
      <w:lang w:eastAsia="en-GB"/>
    </w:rPr>
  </w:style>
  <w:style w:type="paragraph" w:styleId="NormalWeb">
    <w:name w:val="Normal (Web)"/>
    <w:basedOn w:val="Normal"/>
    <w:uiPriority w:val="99"/>
    <w:unhideWhenUsed/>
    <w:rsid w:val="00B0121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apple-converted-space">
    <w:name w:val="apple-converted-space"/>
    <w:basedOn w:val="DefaultParagraphFont"/>
    <w:rsid w:val="00B01217"/>
  </w:style>
  <w:style w:type="character" w:styleId="CommentReference">
    <w:name w:val="annotation reference"/>
    <w:basedOn w:val="DefaultParagraphFont"/>
    <w:uiPriority w:val="99"/>
    <w:semiHidden/>
    <w:unhideWhenUsed/>
    <w:rsid w:val="00B0121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chart" Target="charts/chart7.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mngoda.AD\Downloads\KEMIS%20II%20technical%20report_14042023_A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oleObject" Target="file:///C:\Users\mngoda.AD\Downloads\KEMIS%20II%20technical%20report_14042023_A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2.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mngoda.AD\Downloads\KEMIS%20II%20technical%20report_14042023_AN.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'[KEMIS II technical report_14042023_AN.xlsx]Graphs'!$B$26:$B$27</c:f>
              <c:strCache>
                <c:ptCount val="2"/>
                <c:pt idx="0">
                  <c:v>Korogocho</c:v>
                </c:pt>
                <c:pt idx="1">
                  <c:v>Negative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report_14042023_AN.xlsx]Graphs'!$A$28:$A$34</c:f>
              <c:strCache>
                <c:ptCount val="7"/>
                <c:pt idx="0">
                  <c:v>&lt;15</c:v>
                </c:pt>
                <c:pt idx="1">
                  <c:v>15-24</c:v>
                </c:pt>
                <c:pt idx="2">
                  <c:v>25-34</c:v>
                </c:pt>
                <c:pt idx="3">
                  <c:v>35-44</c:v>
                </c:pt>
                <c:pt idx="4">
                  <c:v>45-54</c:v>
                </c:pt>
                <c:pt idx="5">
                  <c:v>55-64</c:v>
                </c:pt>
                <c:pt idx="6">
                  <c:v>65+</c:v>
                </c:pt>
              </c:strCache>
            </c:strRef>
          </c:cat>
          <c:val>
            <c:numRef>
              <c:f>'[KEMIS II technical report_14042023_AN.xlsx]Graphs'!$B$28:$B$34</c:f>
            </c:numRef>
          </c:val>
          <c:extLst>
            <c:ext xmlns:c16="http://schemas.microsoft.com/office/drawing/2014/chart" uri="{C3380CC4-5D6E-409C-BE32-E72D297353CC}">
              <c16:uniqueId val="{00000000-4CB0-4AC7-95D4-1E4C774887F0}"/>
            </c:ext>
          </c:extLst>
        </c:ser>
        <c:ser>
          <c:idx val="1"/>
          <c:order val="1"/>
          <c:tx>
            <c:strRef>
              <c:f>'[KEMIS II technical report_14042023_AN.xlsx]Graphs'!$C$26:$C$27</c:f>
              <c:strCache>
                <c:ptCount val="2"/>
                <c:pt idx="0">
                  <c:v>Korogocho</c:v>
                </c:pt>
                <c:pt idx="1">
                  <c:v>Positive</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report_14042023_AN.xlsx]Graphs'!$A$28:$A$34</c:f>
              <c:strCache>
                <c:ptCount val="7"/>
                <c:pt idx="0">
                  <c:v>&lt;15</c:v>
                </c:pt>
                <c:pt idx="1">
                  <c:v>15-24</c:v>
                </c:pt>
                <c:pt idx="2">
                  <c:v>25-34</c:v>
                </c:pt>
                <c:pt idx="3">
                  <c:v>35-44</c:v>
                </c:pt>
                <c:pt idx="4">
                  <c:v>45-54</c:v>
                </c:pt>
                <c:pt idx="5">
                  <c:v>55-64</c:v>
                </c:pt>
                <c:pt idx="6">
                  <c:v>65+</c:v>
                </c:pt>
              </c:strCache>
            </c:strRef>
          </c:cat>
          <c:val>
            <c:numRef>
              <c:f>'[KEMIS II technical report_14042023_AN.xlsx]Graphs'!$C$28:$C$34</c:f>
              <c:numCache>
                <c:formatCode>0</c:formatCode>
                <c:ptCount val="7"/>
                <c:pt idx="0">
                  <c:v>72.7</c:v>
                </c:pt>
                <c:pt idx="1">
                  <c:v>97.2</c:v>
                </c:pt>
                <c:pt idx="2">
                  <c:v>91.4</c:v>
                </c:pt>
                <c:pt idx="3">
                  <c:v>86.7</c:v>
                </c:pt>
                <c:pt idx="4">
                  <c:v>97.6</c:v>
                </c:pt>
                <c:pt idx="5">
                  <c:v>97.8</c:v>
                </c:pt>
                <c:pt idx="6">
                  <c:v>100</c:v>
                </c:pt>
              </c:numCache>
            </c:numRef>
          </c:val>
          <c:extLst>
            <c:ext xmlns:c16="http://schemas.microsoft.com/office/drawing/2014/chart" uri="{C3380CC4-5D6E-409C-BE32-E72D297353CC}">
              <c16:uniqueId val="{00000001-4CB0-4AC7-95D4-1E4C774887F0}"/>
            </c:ext>
          </c:extLst>
        </c:ser>
        <c:ser>
          <c:idx val="2"/>
          <c:order val="2"/>
          <c:tx>
            <c:strRef>
              <c:f>'[KEMIS II technical report_14042023_AN.xlsx]Graphs'!$D$26:$D$27</c:f>
              <c:strCache>
                <c:ptCount val="2"/>
                <c:pt idx="0">
                  <c:v>Viwandani</c:v>
                </c:pt>
                <c:pt idx="1">
                  <c:v>Negative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report_14042023_AN.xlsx]Graphs'!$A$28:$A$34</c:f>
              <c:strCache>
                <c:ptCount val="7"/>
                <c:pt idx="0">
                  <c:v>&lt;15</c:v>
                </c:pt>
                <c:pt idx="1">
                  <c:v>15-24</c:v>
                </c:pt>
                <c:pt idx="2">
                  <c:v>25-34</c:v>
                </c:pt>
                <c:pt idx="3">
                  <c:v>35-44</c:v>
                </c:pt>
                <c:pt idx="4">
                  <c:v>45-54</c:v>
                </c:pt>
                <c:pt idx="5">
                  <c:v>55-64</c:v>
                </c:pt>
                <c:pt idx="6">
                  <c:v>65+</c:v>
                </c:pt>
              </c:strCache>
            </c:strRef>
          </c:cat>
          <c:val>
            <c:numRef>
              <c:f>'[KEMIS II technical report_14042023_AN.xlsx]Graphs'!$D$28:$D$34</c:f>
            </c:numRef>
          </c:val>
          <c:extLst>
            <c:ext xmlns:c16="http://schemas.microsoft.com/office/drawing/2014/chart" uri="{C3380CC4-5D6E-409C-BE32-E72D297353CC}">
              <c16:uniqueId val="{00000002-4CB0-4AC7-95D4-1E4C774887F0}"/>
            </c:ext>
          </c:extLst>
        </c:ser>
        <c:ser>
          <c:idx val="3"/>
          <c:order val="3"/>
          <c:tx>
            <c:strRef>
              <c:f>'[KEMIS II technical report_14042023_AN.xlsx]Graphs'!$E$26:$E$27</c:f>
              <c:strCache>
                <c:ptCount val="2"/>
                <c:pt idx="0">
                  <c:v>Viwandani</c:v>
                </c:pt>
                <c:pt idx="1">
                  <c:v>Positive</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report_14042023_AN.xlsx]Graphs'!$A$28:$A$34</c:f>
              <c:strCache>
                <c:ptCount val="7"/>
                <c:pt idx="0">
                  <c:v>&lt;15</c:v>
                </c:pt>
                <c:pt idx="1">
                  <c:v>15-24</c:v>
                </c:pt>
                <c:pt idx="2">
                  <c:v>25-34</c:v>
                </c:pt>
                <c:pt idx="3">
                  <c:v>35-44</c:v>
                </c:pt>
                <c:pt idx="4">
                  <c:v>45-54</c:v>
                </c:pt>
                <c:pt idx="5">
                  <c:v>55-64</c:v>
                </c:pt>
                <c:pt idx="6">
                  <c:v>65+</c:v>
                </c:pt>
              </c:strCache>
            </c:strRef>
          </c:cat>
          <c:val>
            <c:numRef>
              <c:f>'[KEMIS II technical report_14042023_AN.xlsx]Graphs'!$E$28:$E$34</c:f>
              <c:numCache>
                <c:formatCode>0</c:formatCode>
                <c:ptCount val="7"/>
                <c:pt idx="0">
                  <c:v>94.8</c:v>
                </c:pt>
                <c:pt idx="1">
                  <c:v>91.8</c:v>
                </c:pt>
                <c:pt idx="2">
                  <c:v>91.3</c:v>
                </c:pt>
                <c:pt idx="3">
                  <c:v>100</c:v>
                </c:pt>
                <c:pt idx="4">
                  <c:v>98.3</c:v>
                </c:pt>
                <c:pt idx="5">
                  <c:v>96.3</c:v>
                </c:pt>
                <c:pt idx="6">
                  <c:v>100</c:v>
                </c:pt>
              </c:numCache>
            </c:numRef>
          </c:val>
          <c:extLst>
            <c:ext xmlns:c16="http://schemas.microsoft.com/office/drawing/2014/chart" uri="{C3380CC4-5D6E-409C-BE32-E72D297353CC}">
              <c16:uniqueId val="{00000003-4CB0-4AC7-95D4-1E4C774887F0}"/>
            </c:ext>
          </c:extLst>
        </c:ser>
        <c:ser>
          <c:idx val="4"/>
          <c:order val="4"/>
          <c:tx>
            <c:strRef>
              <c:f>'[KEMIS II technical report_14042023_AN.xlsx]Graphs'!$F$26:$F$27</c:f>
              <c:strCache>
                <c:ptCount val="2"/>
                <c:pt idx="0">
                  <c:v>Total</c:v>
                </c:pt>
                <c:pt idx="1">
                  <c:v>Negative</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report_14042023_AN.xlsx]Graphs'!$A$28:$A$34</c:f>
              <c:strCache>
                <c:ptCount val="7"/>
                <c:pt idx="0">
                  <c:v>&lt;15</c:v>
                </c:pt>
                <c:pt idx="1">
                  <c:v>15-24</c:v>
                </c:pt>
                <c:pt idx="2">
                  <c:v>25-34</c:v>
                </c:pt>
                <c:pt idx="3">
                  <c:v>35-44</c:v>
                </c:pt>
                <c:pt idx="4">
                  <c:v>45-54</c:v>
                </c:pt>
                <c:pt idx="5">
                  <c:v>55-64</c:v>
                </c:pt>
                <c:pt idx="6">
                  <c:v>65+</c:v>
                </c:pt>
              </c:strCache>
            </c:strRef>
          </c:cat>
          <c:val>
            <c:numRef>
              <c:f>'[KEMIS II technical report_14042023_AN.xlsx]Graphs'!$F$28:$F$34</c:f>
            </c:numRef>
          </c:val>
          <c:extLst>
            <c:ext xmlns:c16="http://schemas.microsoft.com/office/drawing/2014/chart" uri="{C3380CC4-5D6E-409C-BE32-E72D297353CC}">
              <c16:uniqueId val="{00000004-4CB0-4AC7-95D4-1E4C774887F0}"/>
            </c:ext>
          </c:extLst>
        </c:ser>
        <c:ser>
          <c:idx val="5"/>
          <c:order val="5"/>
          <c:tx>
            <c:strRef>
              <c:f>'[KEMIS II technical report_14042023_AN.xlsx]Graphs'!$G$26:$G$27</c:f>
              <c:strCache>
                <c:ptCount val="2"/>
                <c:pt idx="0">
                  <c:v>Total</c:v>
                </c:pt>
                <c:pt idx="1">
                  <c:v>Positive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report_14042023_AN.xlsx]Graphs'!$A$28:$A$34</c:f>
              <c:strCache>
                <c:ptCount val="7"/>
                <c:pt idx="0">
                  <c:v>&lt;15</c:v>
                </c:pt>
                <c:pt idx="1">
                  <c:v>15-24</c:v>
                </c:pt>
                <c:pt idx="2">
                  <c:v>25-34</c:v>
                </c:pt>
                <c:pt idx="3">
                  <c:v>35-44</c:v>
                </c:pt>
                <c:pt idx="4">
                  <c:v>45-54</c:v>
                </c:pt>
                <c:pt idx="5">
                  <c:v>55-64</c:v>
                </c:pt>
                <c:pt idx="6">
                  <c:v>65+</c:v>
                </c:pt>
              </c:strCache>
            </c:strRef>
          </c:cat>
          <c:val>
            <c:numRef>
              <c:f>'[KEMIS II technical report_14042023_AN.xlsx]Graphs'!$G$28:$G$34</c:f>
              <c:numCache>
                <c:formatCode>0</c:formatCode>
                <c:ptCount val="7"/>
                <c:pt idx="0">
                  <c:v>85.7</c:v>
                </c:pt>
                <c:pt idx="1">
                  <c:v>93.8</c:v>
                </c:pt>
                <c:pt idx="2">
                  <c:v>91.4</c:v>
                </c:pt>
                <c:pt idx="3">
                  <c:v>96</c:v>
                </c:pt>
                <c:pt idx="4">
                  <c:v>98</c:v>
                </c:pt>
                <c:pt idx="5">
                  <c:v>97</c:v>
                </c:pt>
                <c:pt idx="6">
                  <c:v>100</c:v>
                </c:pt>
              </c:numCache>
            </c:numRef>
          </c:val>
          <c:extLst>
            <c:ext xmlns:c16="http://schemas.microsoft.com/office/drawing/2014/chart" uri="{C3380CC4-5D6E-409C-BE32-E72D297353CC}">
              <c16:uniqueId val="{00000005-4CB0-4AC7-95D4-1E4C774887F0}"/>
            </c:ext>
          </c:extLst>
        </c:ser>
        <c:dLbls>
          <c:dLblPos val="outEnd"/>
          <c:showLegendKey val="0"/>
          <c:showVal val="1"/>
          <c:showCatName val="0"/>
          <c:showSerName val="0"/>
          <c:showPercent val="0"/>
          <c:showBubbleSize val="0"/>
        </c:dLbls>
        <c:gapWidth val="219"/>
        <c:overlap val="-27"/>
        <c:axId val="115664448"/>
        <c:axId val="115667360"/>
      </c:barChart>
      <c:catAx>
        <c:axId val="115664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5667360"/>
        <c:crosses val="autoZero"/>
        <c:auto val="1"/>
        <c:lblAlgn val="ctr"/>
        <c:lblOffset val="100"/>
        <c:noMultiLvlLbl val="0"/>
      </c:catAx>
      <c:valAx>
        <c:axId val="115667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Percentage</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15664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200" b="1">
                <a:latin typeface="Times New Roman" panose="02020603050405020304" pitchFamily="18" charset="0"/>
                <a:cs typeface="Times New Roman" panose="02020603050405020304" pitchFamily="18" charset="0"/>
              </a:rPr>
              <a:t>Prevalence of SARS CoV-2 antibodies by gender and residence </a:t>
            </a:r>
          </a:p>
        </c:rich>
      </c:tx>
      <c:layout>
        <c:manualLayout>
          <c:xMode val="edge"/>
          <c:yMode val="edge"/>
          <c:x val="0.15220844269466316"/>
          <c:y val="3.2407407407407406E-2"/>
        </c:manualLayout>
      </c:layout>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Graphs!$A$43</c:f>
              <c:strCache>
                <c:ptCount val="1"/>
                <c:pt idx="0">
                  <c:v>Female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Graphs!$B$41:$G$42</c:f>
              <c:multiLvlStrCache>
                <c:ptCount val="6"/>
                <c:lvl>
                  <c:pt idx="0">
                    <c:v>Negative</c:v>
                  </c:pt>
                  <c:pt idx="1">
                    <c:v>Positive</c:v>
                  </c:pt>
                  <c:pt idx="2">
                    <c:v>Negative</c:v>
                  </c:pt>
                  <c:pt idx="3">
                    <c:v>Positive</c:v>
                  </c:pt>
                  <c:pt idx="4">
                    <c:v>Negative</c:v>
                  </c:pt>
                  <c:pt idx="5">
                    <c:v>Positive</c:v>
                  </c:pt>
                </c:lvl>
                <c:lvl>
                  <c:pt idx="0">
                    <c:v>Korogocho</c:v>
                  </c:pt>
                  <c:pt idx="2">
                    <c:v>Viwandani</c:v>
                  </c:pt>
                  <c:pt idx="4">
                    <c:v>Total</c:v>
                  </c:pt>
                </c:lvl>
              </c:multiLvlStrCache>
            </c:multiLvlStrRef>
          </c:cat>
          <c:val>
            <c:numRef>
              <c:f>Graphs!$B$43:$G$43</c:f>
              <c:numCache>
                <c:formatCode>0</c:formatCode>
                <c:ptCount val="6"/>
                <c:pt idx="0">
                  <c:v>14.4</c:v>
                </c:pt>
                <c:pt idx="1">
                  <c:v>85.6</c:v>
                </c:pt>
                <c:pt idx="2">
                  <c:v>6</c:v>
                </c:pt>
                <c:pt idx="3">
                  <c:v>94</c:v>
                </c:pt>
                <c:pt idx="4">
                  <c:v>9.5</c:v>
                </c:pt>
                <c:pt idx="5">
                  <c:v>90.5</c:v>
                </c:pt>
              </c:numCache>
            </c:numRef>
          </c:val>
          <c:extLst>
            <c:ext xmlns:c16="http://schemas.microsoft.com/office/drawing/2014/chart" uri="{C3380CC4-5D6E-409C-BE32-E72D297353CC}">
              <c16:uniqueId val="{00000000-C73F-4DFD-AFE6-9B10CB623423}"/>
            </c:ext>
          </c:extLst>
        </c:ser>
        <c:ser>
          <c:idx val="1"/>
          <c:order val="1"/>
          <c:tx>
            <c:strRef>
              <c:f>Graphs!$A$44</c:f>
              <c:strCache>
                <c:ptCount val="1"/>
                <c:pt idx="0">
                  <c:v>Male</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Graphs!$B$41:$G$42</c:f>
              <c:multiLvlStrCache>
                <c:ptCount val="6"/>
                <c:lvl>
                  <c:pt idx="0">
                    <c:v>Negative</c:v>
                  </c:pt>
                  <c:pt idx="1">
                    <c:v>Positive</c:v>
                  </c:pt>
                  <c:pt idx="2">
                    <c:v>Negative</c:v>
                  </c:pt>
                  <c:pt idx="3">
                    <c:v>Positive</c:v>
                  </c:pt>
                  <c:pt idx="4">
                    <c:v>Negative</c:v>
                  </c:pt>
                  <c:pt idx="5">
                    <c:v>Positive</c:v>
                  </c:pt>
                </c:lvl>
                <c:lvl>
                  <c:pt idx="0">
                    <c:v>Korogocho</c:v>
                  </c:pt>
                  <c:pt idx="2">
                    <c:v>Viwandani</c:v>
                  </c:pt>
                  <c:pt idx="4">
                    <c:v>Total</c:v>
                  </c:pt>
                </c:lvl>
              </c:multiLvlStrCache>
            </c:multiLvlStrRef>
          </c:cat>
          <c:val>
            <c:numRef>
              <c:f>Graphs!$B$44:$G$44</c:f>
              <c:numCache>
                <c:formatCode>0</c:formatCode>
                <c:ptCount val="6"/>
                <c:pt idx="0">
                  <c:v>11.7</c:v>
                </c:pt>
                <c:pt idx="1">
                  <c:v>88.3</c:v>
                </c:pt>
                <c:pt idx="2">
                  <c:v>3.6</c:v>
                </c:pt>
                <c:pt idx="3">
                  <c:v>96.4</c:v>
                </c:pt>
                <c:pt idx="4">
                  <c:v>6.7</c:v>
                </c:pt>
                <c:pt idx="5">
                  <c:v>93.3</c:v>
                </c:pt>
              </c:numCache>
            </c:numRef>
          </c:val>
          <c:extLst>
            <c:ext xmlns:c16="http://schemas.microsoft.com/office/drawing/2014/chart" uri="{C3380CC4-5D6E-409C-BE32-E72D297353CC}">
              <c16:uniqueId val="{00000001-C73F-4DFD-AFE6-9B10CB623423}"/>
            </c:ext>
          </c:extLst>
        </c:ser>
        <c:dLbls>
          <c:showLegendKey val="0"/>
          <c:showVal val="0"/>
          <c:showCatName val="0"/>
          <c:showSerName val="0"/>
          <c:showPercent val="0"/>
          <c:showBubbleSize val="0"/>
        </c:dLbls>
        <c:gapWidth val="219"/>
        <c:overlap val="-27"/>
        <c:axId val="1091722992"/>
        <c:axId val="1091710928"/>
      </c:barChart>
      <c:catAx>
        <c:axId val="1091722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1710928"/>
        <c:crosses val="autoZero"/>
        <c:auto val="1"/>
        <c:lblAlgn val="ctr"/>
        <c:lblOffset val="100"/>
        <c:noMultiLvlLbl val="0"/>
      </c:catAx>
      <c:valAx>
        <c:axId val="1091710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1722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'[KEMIS II technical report_14042023_AN.xlsx]Graphs'!$A$110</c:f>
              <c:strCache>
                <c:ptCount val="1"/>
                <c:pt idx="0">
                  <c:v>Fully vaccinated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report_14042023_AN.xlsx]Graphs'!$B$109:$G$109</c:f>
              <c:strCache>
                <c:ptCount val="3"/>
                <c:pt idx="0">
                  <c:v>Korogocho</c:v>
                </c:pt>
                <c:pt idx="1">
                  <c:v>Viwandani</c:v>
                </c:pt>
                <c:pt idx="2">
                  <c:v>Total</c:v>
                </c:pt>
              </c:strCache>
            </c:strRef>
          </c:cat>
          <c:val>
            <c:numRef>
              <c:f>'[KEMIS II technical report_14042023_AN.xlsx]Graphs'!$B$110:$G$110</c:f>
              <c:numCache>
                <c:formatCode>0</c:formatCode>
                <c:ptCount val="3"/>
                <c:pt idx="0">
                  <c:v>98.88</c:v>
                </c:pt>
                <c:pt idx="1">
                  <c:v>97.63</c:v>
                </c:pt>
                <c:pt idx="2">
                  <c:v>98.06</c:v>
                </c:pt>
              </c:numCache>
            </c:numRef>
          </c:val>
          <c:extLst>
            <c:ext xmlns:c16="http://schemas.microsoft.com/office/drawing/2014/chart" uri="{C3380CC4-5D6E-409C-BE32-E72D297353CC}">
              <c16:uniqueId val="{00000000-358C-4CDD-8A48-5BF9B61F7A7C}"/>
            </c:ext>
          </c:extLst>
        </c:ser>
        <c:ser>
          <c:idx val="1"/>
          <c:order val="1"/>
          <c:tx>
            <c:strRef>
              <c:f>'[KEMIS II technical report_14042023_AN.xlsx]Graphs'!$A$111</c:f>
              <c:strCache>
                <c:ptCount val="1"/>
                <c:pt idx="0">
                  <c:v>Partially vaccinated</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report_14042023_AN.xlsx]Graphs'!$B$109:$G$109</c:f>
              <c:strCache>
                <c:ptCount val="3"/>
                <c:pt idx="0">
                  <c:v>Korogocho</c:v>
                </c:pt>
                <c:pt idx="1">
                  <c:v>Viwandani</c:v>
                </c:pt>
                <c:pt idx="2">
                  <c:v>Total</c:v>
                </c:pt>
              </c:strCache>
            </c:strRef>
          </c:cat>
          <c:val>
            <c:numRef>
              <c:f>'[KEMIS II technical report_14042023_AN.xlsx]Graphs'!$B$111:$G$111</c:f>
              <c:numCache>
                <c:formatCode>0</c:formatCode>
                <c:ptCount val="3"/>
                <c:pt idx="0">
                  <c:v>95</c:v>
                </c:pt>
                <c:pt idx="1">
                  <c:v>96.15</c:v>
                </c:pt>
                <c:pt idx="2">
                  <c:v>95.65</c:v>
                </c:pt>
              </c:numCache>
            </c:numRef>
          </c:val>
          <c:extLst>
            <c:ext xmlns:c16="http://schemas.microsoft.com/office/drawing/2014/chart" uri="{C3380CC4-5D6E-409C-BE32-E72D297353CC}">
              <c16:uniqueId val="{00000001-358C-4CDD-8A48-5BF9B61F7A7C}"/>
            </c:ext>
          </c:extLst>
        </c:ser>
        <c:ser>
          <c:idx val="2"/>
          <c:order val="2"/>
          <c:tx>
            <c:strRef>
              <c:f>'[KEMIS II technical report_14042023_AN.xlsx]Graphs'!$A$112</c:f>
              <c:strCache>
                <c:ptCount val="1"/>
                <c:pt idx="0">
                  <c:v>not vaccinated</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'[KEMIS II technical report_14042023_AN.xlsx]Graphs'!$B$109:$G$109</c:f>
              <c:strCache>
                <c:ptCount val="3"/>
                <c:pt idx="0">
                  <c:v>Korogocho</c:v>
                </c:pt>
                <c:pt idx="1">
                  <c:v>Viwandani</c:v>
                </c:pt>
                <c:pt idx="2">
                  <c:v>Total</c:v>
                </c:pt>
              </c:strCache>
            </c:strRef>
          </c:cat>
          <c:val>
            <c:numRef>
              <c:f>'[KEMIS II technical report_14042023_AN.xlsx]Graphs'!$B$112:$G$112</c:f>
              <c:numCache>
                <c:formatCode>0</c:formatCode>
                <c:ptCount val="3"/>
                <c:pt idx="0">
                  <c:v>91.85</c:v>
                </c:pt>
                <c:pt idx="1">
                  <c:v>95.05</c:v>
                </c:pt>
                <c:pt idx="2">
                  <c:v>93.69</c:v>
                </c:pt>
              </c:numCache>
            </c:numRef>
          </c:val>
          <c:extLst>
            <c:ext xmlns:c16="http://schemas.microsoft.com/office/drawing/2014/chart" uri="{C3380CC4-5D6E-409C-BE32-E72D297353CC}">
              <c16:uniqueId val="{00000002-358C-4CDD-8A48-5BF9B61F7A7C}"/>
            </c:ext>
          </c:extLst>
        </c:ser>
        <c:dLbls>
          <c:dLblPos val="outEnd"/>
          <c:showLegendKey val="0"/>
          <c:showVal val="1"/>
          <c:showCatName val="0"/>
          <c:showSerName val="0"/>
          <c:showPercent val="0"/>
          <c:showBubbleSize val="0"/>
        </c:dLbls>
        <c:gapWidth val="219"/>
        <c:overlap val="-27"/>
        <c:axId val="121803232"/>
        <c:axId val="121812800"/>
      </c:barChart>
      <c:catAx>
        <c:axId val="12180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21812800"/>
        <c:crosses val="autoZero"/>
        <c:auto val="1"/>
        <c:lblAlgn val="ctr"/>
        <c:lblOffset val="100"/>
        <c:noMultiLvlLbl val="0"/>
      </c:catAx>
      <c:valAx>
        <c:axId val="121812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Percentage</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2180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b="1">
                <a:solidFill>
                  <a:sysClr val="windowText" lastClr="000000"/>
                </a:solidFill>
                <a:latin typeface="Times New Roman" panose="02020603050405020304" pitchFamily="18" charset="0"/>
                <a:cs typeface="Times New Roman" panose="02020603050405020304" pitchFamily="18" charset="0"/>
              </a:rPr>
              <a:t>Presence of SARS-CoV-2 antibodies among</a:t>
            </a:r>
            <a:r>
              <a:rPr lang="en-US" sz="1100" b="1" baseline="0">
                <a:solidFill>
                  <a:sysClr val="windowText" lastClr="000000"/>
                </a:solidFill>
                <a:latin typeface="Times New Roman" panose="02020603050405020304" pitchFamily="18" charset="0"/>
                <a:cs typeface="Times New Roman" panose="02020603050405020304" pitchFamily="18" charset="0"/>
              </a:rPr>
              <a:t> participants who reported </a:t>
            </a:r>
            <a:r>
              <a:rPr lang="en-US" sz="1100" b="1">
                <a:solidFill>
                  <a:sysClr val="windowText" lastClr="000000"/>
                </a:solidFill>
                <a:latin typeface="Times New Roman" panose="02020603050405020304" pitchFamily="18" charset="0"/>
                <a:cs typeface="Times New Roman" panose="02020603050405020304" pitchFamily="18" charset="0"/>
              </a:rPr>
              <a:t>nil risk</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36080697438475834"/>
          <c:y val="0.20888119329064211"/>
          <c:w val="0.26470304096822561"/>
          <c:h val="0.57037977132465323"/>
        </c:manualLayout>
      </c:layout>
      <c:pieChart>
        <c:varyColors val="1"/>
        <c:ser>
          <c:idx val="0"/>
          <c:order val="0"/>
          <c:tx>
            <c:strRef>
              <c:f>Graphs!$B$146</c:f>
              <c:strCache>
                <c:ptCount val="1"/>
                <c:pt idx="0">
                  <c:v>Percent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C48-46D1-AD40-AC921898D7FB}"/>
              </c:ext>
            </c:extLst>
          </c:dPt>
          <c:dPt>
            <c:idx val="1"/>
            <c:bubble3D val="0"/>
            <c:explosion val="27"/>
            <c:spPr>
              <a:solidFill>
                <a:schemeClr val="accent2"/>
              </a:solidFill>
              <a:ln w="19050">
                <a:solidFill>
                  <a:schemeClr val="lt1"/>
                </a:solidFill>
              </a:ln>
              <a:effectLst/>
            </c:spPr>
            <c:extLst>
              <c:ext xmlns:c16="http://schemas.microsoft.com/office/drawing/2014/chart" uri="{C3380CC4-5D6E-409C-BE32-E72D297353CC}">
                <c16:uniqueId val="{00000003-1C48-46D1-AD40-AC921898D7FB}"/>
              </c:ext>
            </c:extLst>
          </c:dPt>
          <c:dLbls>
            <c:dLbl>
              <c:idx val="0"/>
              <c:layout>
                <c:manualLayout>
                  <c:x val="-7.98175598631699E-3"/>
                  <c:y val="6.3916887538934784E-3"/>
                </c:manualLayout>
              </c:layout>
              <c:tx>
                <c:rich>
                  <a:bodyPr/>
                  <a:lstStyle/>
                  <a:p>
                    <a:fld id="{F216846D-61E4-4839-A43E-1757F1F9B75E}" type="PERCENTAGE">
                      <a:rPr lang="en-US"/>
                      <a:pPr/>
                      <a:t>[PERCENTAGE]</a:t>
                    </a:fld>
                    <a:endParaRPr lang="en-US"/>
                  </a:p>
                </c:rich>
              </c:tx>
              <c:dLblPos val="bestFit"/>
              <c:showLegendKey val="0"/>
              <c:showVal val="1"/>
              <c:showCatName val="0"/>
              <c:showSerName val="0"/>
              <c:showPercent val="0"/>
              <c:showBubbleSize val="0"/>
              <c:extLst>
                <c:ext xmlns:c15="http://schemas.microsoft.com/office/drawing/2012/chart" uri="{CE6537A1-D6FC-4f65-9D91-7224C49458BB}">
                  <c15:layout>
                    <c:manualLayout>
                      <c:w val="5.3591790193842644E-2"/>
                      <c:h val="7.0024570024570021E-2"/>
                    </c:manualLayout>
                  </c15:layout>
                  <c15:dlblFieldTable/>
                  <c15:showDataLabelsRange val="0"/>
                </c:ext>
                <c:ext xmlns:c16="http://schemas.microsoft.com/office/drawing/2014/chart" uri="{C3380CC4-5D6E-409C-BE32-E72D297353CC}">
                  <c16:uniqueId val="{00000001-1C48-46D1-AD40-AC921898D7FB}"/>
                </c:ext>
              </c:extLst>
            </c:dLbl>
            <c:dLbl>
              <c:idx val="1"/>
              <c:tx>
                <c:rich>
                  <a:bodyPr/>
                  <a:lstStyle/>
                  <a:p>
                    <a:r>
                      <a:rPr lang="en-US"/>
                      <a:t>94%</a:t>
                    </a:r>
                  </a:p>
                </c:rich>
              </c:tx>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C48-46D1-AD40-AC921898D7FB}"/>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Graphs!$A$147:$A$148</c:f>
              <c:strCache>
                <c:ptCount val="2"/>
                <c:pt idx="0">
                  <c:v>negative</c:v>
                </c:pt>
                <c:pt idx="1">
                  <c:v>positive</c:v>
                </c:pt>
              </c:strCache>
            </c:strRef>
          </c:cat>
          <c:val>
            <c:numRef>
              <c:f>Graphs!$B$147:$B$148</c:f>
              <c:numCache>
                <c:formatCode>0</c:formatCode>
                <c:ptCount val="2"/>
                <c:pt idx="0">
                  <c:v>5.66</c:v>
                </c:pt>
                <c:pt idx="1">
                  <c:v>94.34</c:v>
                </c:pt>
              </c:numCache>
            </c:numRef>
          </c:val>
          <c:extLst>
            <c:ext xmlns:c16="http://schemas.microsoft.com/office/drawing/2014/chart" uri="{C3380CC4-5D6E-409C-BE32-E72D297353CC}">
              <c16:uniqueId val="{00000004-1C48-46D1-AD40-AC921898D7F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26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Risk perception of SARS CoV-2 prevalence by gender and residence </a:t>
            </a:r>
          </a:p>
        </c:rich>
      </c:tx>
      <c:layout>
        <c:manualLayout>
          <c:xMode val="edge"/>
          <c:yMode val="edge"/>
          <c:x val="0.35949300087489067"/>
          <c:y val="2.3148148148148147E-2"/>
        </c:manualLayout>
      </c:layout>
      <c:overlay val="0"/>
      <c:spPr>
        <a:noFill/>
        <a:ln>
          <a:noFill/>
        </a:ln>
        <a:effectLst/>
      </c:spPr>
      <c:txPr>
        <a:bodyPr rot="0" spcFirstLastPara="1" vertOverflow="ellipsis" vert="horz" wrap="square" anchor="ctr" anchorCtr="1"/>
        <a:lstStyle/>
        <a:p>
          <a:pPr algn="ctr">
            <a:defRPr sz="126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Graphs!$A$81</c:f>
              <c:strCache>
                <c:ptCount val="1"/>
                <c:pt idx="0">
                  <c:v>Nil</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Graphs!$B$79:$G$80</c:f>
              <c:multiLvlStrCache>
                <c:ptCount val="6"/>
                <c:lvl>
                  <c:pt idx="0">
                    <c:v>Female</c:v>
                  </c:pt>
                  <c:pt idx="1">
                    <c:v>Male</c:v>
                  </c:pt>
                  <c:pt idx="2">
                    <c:v>Female</c:v>
                  </c:pt>
                  <c:pt idx="3">
                    <c:v>Male</c:v>
                  </c:pt>
                  <c:pt idx="4">
                    <c:v>Female</c:v>
                  </c:pt>
                  <c:pt idx="5">
                    <c:v>Male</c:v>
                  </c:pt>
                </c:lvl>
                <c:lvl>
                  <c:pt idx="0">
                    <c:v>Korogocho</c:v>
                  </c:pt>
                  <c:pt idx="2">
                    <c:v>Viwandani</c:v>
                  </c:pt>
                  <c:pt idx="4">
                    <c:v>Total</c:v>
                  </c:pt>
                </c:lvl>
              </c:multiLvlStrCache>
            </c:multiLvlStrRef>
          </c:cat>
          <c:val>
            <c:numRef>
              <c:f>Graphs!$B$81:$G$81</c:f>
              <c:numCache>
                <c:formatCode>0</c:formatCode>
                <c:ptCount val="6"/>
                <c:pt idx="0">
                  <c:v>32.58</c:v>
                </c:pt>
                <c:pt idx="1">
                  <c:v>40</c:v>
                </c:pt>
                <c:pt idx="2">
                  <c:v>37.159999999999997</c:v>
                </c:pt>
                <c:pt idx="3">
                  <c:v>37.880000000000003</c:v>
                </c:pt>
                <c:pt idx="4">
                  <c:v>35.24</c:v>
                </c:pt>
                <c:pt idx="5">
                  <c:v>38.69</c:v>
                </c:pt>
              </c:numCache>
            </c:numRef>
          </c:val>
          <c:extLst>
            <c:ext xmlns:c16="http://schemas.microsoft.com/office/drawing/2014/chart" uri="{C3380CC4-5D6E-409C-BE32-E72D297353CC}">
              <c16:uniqueId val="{00000000-051B-4FA8-9702-3FB0C96C0D39}"/>
            </c:ext>
          </c:extLst>
        </c:ser>
        <c:ser>
          <c:idx val="1"/>
          <c:order val="1"/>
          <c:tx>
            <c:strRef>
              <c:f>Graphs!$A$82</c:f>
              <c:strCache>
                <c:ptCount val="1"/>
                <c:pt idx="0">
                  <c:v>Low</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Graphs!$B$79:$G$80</c:f>
              <c:multiLvlStrCache>
                <c:ptCount val="6"/>
                <c:lvl>
                  <c:pt idx="0">
                    <c:v>Female</c:v>
                  </c:pt>
                  <c:pt idx="1">
                    <c:v>Male</c:v>
                  </c:pt>
                  <c:pt idx="2">
                    <c:v>Female</c:v>
                  </c:pt>
                  <c:pt idx="3">
                    <c:v>Male</c:v>
                  </c:pt>
                  <c:pt idx="4">
                    <c:v>Female</c:v>
                  </c:pt>
                  <c:pt idx="5">
                    <c:v>Male</c:v>
                  </c:pt>
                </c:lvl>
                <c:lvl>
                  <c:pt idx="0">
                    <c:v>Korogocho</c:v>
                  </c:pt>
                  <c:pt idx="2">
                    <c:v>Viwandani</c:v>
                  </c:pt>
                  <c:pt idx="4">
                    <c:v>Total</c:v>
                  </c:pt>
                </c:lvl>
              </c:multiLvlStrCache>
            </c:multiLvlStrRef>
          </c:cat>
          <c:val>
            <c:numRef>
              <c:f>Graphs!$B$82:$G$82</c:f>
              <c:numCache>
                <c:formatCode>0</c:formatCode>
                <c:ptCount val="6"/>
                <c:pt idx="0">
                  <c:v>25</c:v>
                </c:pt>
                <c:pt idx="1">
                  <c:v>29.27</c:v>
                </c:pt>
                <c:pt idx="2">
                  <c:v>26.78</c:v>
                </c:pt>
                <c:pt idx="3">
                  <c:v>30.91</c:v>
                </c:pt>
                <c:pt idx="4">
                  <c:v>26.03</c:v>
                </c:pt>
                <c:pt idx="5">
                  <c:v>30.28</c:v>
                </c:pt>
              </c:numCache>
            </c:numRef>
          </c:val>
          <c:extLst>
            <c:ext xmlns:c16="http://schemas.microsoft.com/office/drawing/2014/chart" uri="{C3380CC4-5D6E-409C-BE32-E72D297353CC}">
              <c16:uniqueId val="{00000001-051B-4FA8-9702-3FB0C96C0D39}"/>
            </c:ext>
          </c:extLst>
        </c:ser>
        <c:ser>
          <c:idx val="2"/>
          <c:order val="2"/>
          <c:tx>
            <c:strRef>
              <c:f>Graphs!$A$83</c:f>
              <c:strCache>
                <c:ptCount val="1"/>
                <c:pt idx="0">
                  <c:v>Moderate</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Graphs!$B$79:$G$80</c:f>
              <c:multiLvlStrCache>
                <c:ptCount val="6"/>
                <c:lvl>
                  <c:pt idx="0">
                    <c:v>Female</c:v>
                  </c:pt>
                  <c:pt idx="1">
                    <c:v>Male</c:v>
                  </c:pt>
                  <c:pt idx="2">
                    <c:v>Female</c:v>
                  </c:pt>
                  <c:pt idx="3">
                    <c:v>Male</c:v>
                  </c:pt>
                  <c:pt idx="4">
                    <c:v>Female</c:v>
                  </c:pt>
                  <c:pt idx="5">
                    <c:v>Male</c:v>
                  </c:pt>
                </c:lvl>
                <c:lvl>
                  <c:pt idx="0">
                    <c:v>Korogocho</c:v>
                  </c:pt>
                  <c:pt idx="2">
                    <c:v>Viwandani</c:v>
                  </c:pt>
                  <c:pt idx="4">
                    <c:v>Total</c:v>
                  </c:pt>
                </c:lvl>
              </c:multiLvlStrCache>
            </c:multiLvlStrRef>
          </c:cat>
          <c:val>
            <c:numRef>
              <c:f>Graphs!$B$83:$G$83</c:f>
              <c:numCache>
                <c:formatCode>0</c:formatCode>
                <c:ptCount val="6"/>
                <c:pt idx="0">
                  <c:v>33.33</c:v>
                </c:pt>
                <c:pt idx="1">
                  <c:v>18.54</c:v>
                </c:pt>
                <c:pt idx="2">
                  <c:v>29.51</c:v>
                </c:pt>
                <c:pt idx="3">
                  <c:v>22.12</c:v>
                </c:pt>
                <c:pt idx="4">
                  <c:v>31.11</c:v>
                </c:pt>
                <c:pt idx="5">
                  <c:v>20.75</c:v>
                </c:pt>
              </c:numCache>
            </c:numRef>
          </c:val>
          <c:extLst>
            <c:ext xmlns:c16="http://schemas.microsoft.com/office/drawing/2014/chart" uri="{C3380CC4-5D6E-409C-BE32-E72D297353CC}">
              <c16:uniqueId val="{00000002-051B-4FA8-9702-3FB0C96C0D39}"/>
            </c:ext>
          </c:extLst>
        </c:ser>
        <c:ser>
          <c:idx val="3"/>
          <c:order val="3"/>
          <c:tx>
            <c:strRef>
              <c:f>Graphs!$A$84</c:f>
              <c:strCache>
                <c:ptCount val="1"/>
                <c:pt idx="0">
                  <c:v>High</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Graphs!$B$79:$G$80</c:f>
              <c:multiLvlStrCache>
                <c:ptCount val="6"/>
                <c:lvl>
                  <c:pt idx="0">
                    <c:v>Female</c:v>
                  </c:pt>
                  <c:pt idx="1">
                    <c:v>Male</c:v>
                  </c:pt>
                  <c:pt idx="2">
                    <c:v>Female</c:v>
                  </c:pt>
                  <c:pt idx="3">
                    <c:v>Male</c:v>
                  </c:pt>
                  <c:pt idx="4">
                    <c:v>Female</c:v>
                  </c:pt>
                  <c:pt idx="5">
                    <c:v>Male</c:v>
                  </c:pt>
                </c:lvl>
                <c:lvl>
                  <c:pt idx="0">
                    <c:v>Korogocho</c:v>
                  </c:pt>
                  <c:pt idx="2">
                    <c:v>Viwandani</c:v>
                  </c:pt>
                  <c:pt idx="4">
                    <c:v>Total</c:v>
                  </c:pt>
                </c:lvl>
              </c:multiLvlStrCache>
            </c:multiLvlStrRef>
          </c:cat>
          <c:val>
            <c:numRef>
              <c:f>Graphs!$B$84:$G$84</c:f>
              <c:numCache>
                <c:formatCode>0</c:formatCode>
                <c:ptCount val="6"/>
                <c:pt idx="0">
                  <c:v>9.09</c:v>
                </c:pt>
                <c:pt idx="1">
                  <c:v>12.2</c:v>
                </c:pt>
                <c:pt idx="2">
                  <c:v>6.56</c:v>
                </c:pt>
                <c:pt idx="3">
                  <c:v>9.09</c:v>
                </c:pt>
                <c:pt idx="4">
                  <c:v>7.62</c:v>
                </c:pt>
                <c:pt idx="5">
                  <c:v>10.28</c:v>
                </c:pt>
              </c:numCache>
            </c:numRef>
          </c:val>
          <c:extLst>
            <c:ext xmlns:c16="http://schemas.microsoft.com/office/drawing/2014/chart" uri="{C3380CC4-5D6E-409C-BE32-E72D297353CC}">
              <c16:uniqueId val="{00000003-051B-4FA8-9702-3FB0C96C0D39}"/>
            </c:ext>
          </c:extLst>
        </c:ser>
        <c:dLbls>
          <c:showLegendKey val="0"/>
          <c:showVal val="0"/>
          <c:showCatName val="0"/>
          <c:showSerName val="0"/>
          <c:showPercent val="0"/>
          <c:showBubbleSize val="0"/>
        </c:dLbls>
        <c:gapWidth val="219"/>
        <c:overlap val="-27"/>
        <c:axId val="1097138272"/>
        <c:axId val="1097128704"/>
      </c:barChart>
      <c:catAx>
        <c:axId val="109713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7128704"/>
        <c:crosses val="autoZero"/>
        <c:auto val="1"/>
        <c:lblAlgn val="ctr"/>
        <c:lblOffset val="100"/>
        <c:noMultiLvlLbl val="0"/>
      </c:catAx>
      <c:valAx>
        <c:axId val="10971287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7138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'[KEMIS II technical report_14042023_AN.xlsx]Graphs'!$A$65</c:f>
              <c:strCache>
                <c:ptCount val="1"/>
                <c:pt idx="0">
                  <c:v>Less than 15</c:v>
                </c:pt>
              </c:strCache>
            </c:strRef>
          </c:tx>
          <c:spPr>
            <a:solidFill>
              <a:schemeClr val="accent1"/>
            </a:solidFill>
            <a:ln>
              <a:noFill/>
            </a:ln>
            <a:effectLst/>
          </c:spPr>
          <c:invertIfNegative val="0"/>
          <c:cat>
            <c:multiLvlStrRef>
              <c:f>'[KEMIS II technical report_14042023_AN.xlsx]Graphs'!$B$63:$I$64</c:f>
              <c:multiLvlStrCache>
                <c:ptCount val="8"/>
                <c:lvl>
                  <c:pt idx="0">
                    <c:v>Nil</c:v>
                  </c:pt>
                  <c:pt idx="1">
                    <c:v>Low</c:v>
                  </c:pt>
                  <c:pt idx="2">
                    <c:v>Moderate</c:v>
                  </c:pt>
                  <c:pt idx="3">
                    <c:v>High</c:v>
                  </c:pt>
                  <c:pt idx="4">
                    <c:v>Nil</c:v>
                  </c:pt>
                  <c:pt idx="5">
                    <c:v>Low</c:v>
                  </c:pt>
                  <c:pt idx="6">
                    <c:v>Moderate</c:v>
                  </c:pt>
                  <c:pt idx="7">
                    <c:v>High</c:v>
                  </c:pt>
                </c:lvl>
                <c:lvl>
                  <c:pt idx="0">
                    <c:v>Korogocho</c:v>
                  </c:pt>
                  <c:pt idx="4">
                    <c:v>Viwandani</c:v>
                  </c:pt>
                </c:lvl>
              </c:multiLvlStrCache>
            </c:multiLvlStrRef>
          </c:cat>
          <c:val>
            <c:numRef>
              <c:f>'[KEMIS II technical report_14042023_AN.xlsx]Graphs'!$B$65:$I$65</c:f>
              <c:numCache>
                <c:formatCode>0</c:formatCode>
                <c:ptCount val="8"/>
                <c:pt idx="0">
                  <c:v>24.79</c:v>
                </c:pt>
                <c:pt idx="1">
                  <c:v>23.97</c:v>
                </c:pt>
                <c:pt idx="2">
                  <c:v>37.19</c:v>
                </c:pt>
                <c:pt idx="3">
                  <c:v>14.05</c:v>
                </c:pt>
                <c:pt idx="4">
                  <c:v>27.33</c:v>
                </c:pt>
                <c:pt idx="5">
                  <c:v>23.26</c:v>
                </c:pt>
                <c:pt idx="6">
                  <c:v>37.79</c:v>
                </c:pt>
                <c:pt idx="7">
                  <c:v>11.63</c:v>
                </c:pt>
              </c:numCache>
            </c:numRef>
          </c:val>
          <c:extLst>
            <c:ext xmlns:c16="http://schemas.microsoft.com/office/drawing/2014/chart" uri="{C3380CC4-5D6E-409C-BE32-E72D297353CC}">
              <c16:uniqueId val="{00000000-2BC9-411C-81E2-698E8891CFD9}"/>
            </c:ext>
          </c:extLst>
        </c:ser>
        <c:ser>
          <c:idx val="1"/>
          <c:order val="1"/>
          <c:tx>
            <c:strRef>
              <c:f>'[KEMIS II technical report_14042023_AN.xlsx]Graphs'!$A$66</c:f>
              <c:strCache>
                <c:ptCount val="1"/>
                <c:pt idx="0">
                  <c:v>15-24</c:v>
                </c:pt>
              </c:strCache>
            </c:strRef>
          </c:tx>
          <c:spPr>
            <a:solidFill>
              <a:schemeClr val="accent2"/>
            </a:solidFill>
            <a:ln>
              <a:noFill/>
            </a:ln>
            <a:effectLst/>
          </c:spPr>
          <c:invertIfNegative val="0"/>
          <c:cat>
            <c:multiLvlStrRef>
              <c:f>'[KEMIS II technical report_14042023_AN.xlsx]Graphs'!$B$63:$I$64</c:f>
              <c:multiLvlStrCache>
                <c:ptCount val="8"/>
                <c:lvl>
                  <c:pt idx="0">
                    <c:v>Nil</c:v>
                  </c:pt>
                  <c:pt idx="1">
                    <c:v>Low</c:v>
                  </c:pt>
                  <c:pt idx="2">
                    <c:v>Moderate</c:v>
                  </c:pt>
                  <c:pt idx="3">
                    <c:v>High</c:v>
                  </c:pt>
                  <c:pt idx="4">
                    <c:v>Nil</c:v>
                  </c:pt>
                  <c:pt idx="5">
                    <c:v>Low</c:v>
                  </c:pt>
                  <c:pt idx="6">
                    <c:v>Moderate</c:v>
                  </c:pt>
                  <c:pt idx="7">
                    <c:v>High</c:v>
                  </c:pt>
                </c:lvl>
                <c:lvl>
                  <c:pt idx="0">
                    <c:v>Korogocho</c:v>
                  </c:pt>
                  <c:pt idx="4">
                    <c:v>Viwandani</c:v>
                  </c:pt>
                </c:lvl>
              </c:multiLvlStrCache>
            </c:multiLvlStrRef>
          </c:cat>
          <c:val>
            <c:numRef>
              <c:f>'[KEMIS II technical report_14042023_AN.xlsx]Graphs'!$B$66:$I$66</c:f>
              <c:numCache>
                <c:formatCode>0</c:formatCode>
                <c:ptCount val="8"/>
                <c:pt idx="0">
                  <c:v>52.78</c:v>
                </c:pt>
                <c:pt idx="1">
                  <c:v>27.78</c:v>
                </c:pt>
                <c:pt idx="2">
                  <c:v>16.670000000000002</c:v>
                </c:pt>
                <c:pt idx="3">
                  <c:v>2.78</c:v>
                </c:pt>
                <c:pt idx="4">
                  <c:v>36.07</c:v>
                </c:pt>
                <c:pt idx="5">
                  <c:v>29.51</c:v>
                </c:pt>
                <c:pt idx="6">
                  <c:v>26.23</c:v>
                </c:pt>
                <c:pt idx="7">
                  <c:v>8.1999999999999993</c:v>
                </c:pt>
              </c:numCache>
            </c:numRef>
          </c:val>
          <c:extLst>
            <c:ext xmlns:c16="http://schemas.microsoft.com/office/drawing/2014/chart" uri="{C3380CC4-5D6E-409C-BE32-E72D297353CC}">
              <c16:uniqueId val="{00000001-2BC9-411C-81E2-698E8891CFD9}"/>
            </c:ext>
          </c:extLst>
        </c:ser>
        <c:ser>
          <c:idx val="2"/>
          <c:order val="2"/>
          <c:tx>
            <c:strRef>
              <c:f>'[KEMIS II technical report_14042023_AN.xlsx]Graphs'!$A$67</c:f>
              <c:strCache>
                <c:ptCount val="1"/>
                <c:pt idx="0">
                  <c:v>25-34</c:v>
                </c:pt>
              </c:strCache>
            </c:strRef>
          </c:tx>
          <c:spPr>
            <a:solidFill>
              <a:schemeClr val="accent3"/>
            </a:solidFill>
            <a:ln>
              <a:noFill/>
            </a:ln>
            <a:effectLst/>
          </c:spPr>
          <c:invertIfNegative val="0"/>
          <c:cat>
            <c:multiLvlStrRef>
              <c:f>'[KEMIS II technical report_14042023_AN.xlsx]Graphs'!$B$63:$I$64</c:f>
              <c:multiLvlStrCache>
                <c:ptCount val="8"/>
                <c:lvl>
                  <c:pt idx="0">
                    <c:v>Nil</c:v>
                  </c:pt>
                  <c:pt idx="1">
                    <c:v>Low</c:v>
                  </c:pt>
                  <c:pt idx="2">
                    <c:v>Moderate</c:v>
                  </c:pt>
                  <c:pt idx="3">
                    <c:v>High</c:v>
                  </c:pt>
                  <c:pt idx="4">
                    <c:v>Nil</c:v>
                  </c:pt>
                  <c:pt idx="5">
                    <c:v>Low</c:v>
                  </c:pt>
                  <c:pt idx="6">
                    <c:v>Moderate</c:v>
                  </c:pt>
                  <c:pt idx="7">
                    <c:v>High</c:v>
                  </c:pt>
                </c:lvl>
                <c:lvl>
                  <c:pt idx="0">
                    <c:v>Korogocho</c:v>
                  </c:pt>
                  <c:pt idx="4">
                    <c:v>Viwandani</c:v>
                  </c:pt>
                </c:lvl>
              </c:multiLvlStrCache>
            </c:multiLvlStrRef>
          </c:cat>
          <c:val>
            <c:numRef>
              <c:f>'[KEMIS II technical report_14042023_AN.xlsx]Graphs'!$B$67:$I$67</c:f>
              <c:numCache>
                <c:formatCode>0</c:formatCode>
                <c:ptCount val="8"/>
                <c:pt idx="0">
                  <c:v>28.57</c:v>
                </c:pt>
                <c:pt idx="1">
                  <c:v>31.43</c:v>
                </c:pt>
                <c:pt idx="2">
                  <c:v>25.71</c:v>
                </c:pt>
                <c:pt idx="3">
                  <c:v>14.29</c:v>
                </c:pt>
                <c:pt idx="4">
                  <c:v>39.130000000000003</c:v>
                </c:pt>
                <c:pt idx="5">
                  <c:v>36.229999999999997</c:v>
                </c:pt>
                <c:pt idx="6">
                  <c:v>15.94</c:v>
                </c:pt>
                <c:pt idx="7">
                  <c:v>8.6999999999999993</c:v>
                </c:pt>
              </c:numCache>
            </c:numRef>
          </c:val>
          <c:extLst>
            <c:ext xmlns:c16="http://schemas.microsoft.com/office/drawing/2014/chart" uri="{C3380CC4-5D6E-409C-BE32-E72D297353CC}">
              <c16:uniqueId val="{00000002-2BC9-411C-81E2-698E8891CFD9}"/>
            </c:ext>
          </c:extLst>
        </c:ser>
        <c:ser>
          <c:idx val="3"/>
          <c:order val="3"/>
          <c:tx>
            <c:strRef>
              <c:f>'[KEMIS II technical report_14042023_AN.xlsx]Graphs'!$A$68</c:f>
              <c:strCache>
                <c:ptCount val="1"/>
                <c:pt idx="0">
                  <c:v>35-44</c:v>
                </c:pt>
              </c:strCache>
            </c:strRef>
          </c:tx>
          <c:spPr>
            <a:solidFill>
              <a:schemeClr val="accent4"/>
            </a:solidFill>
            <a:ln>
              <a:noFill/>
            </a:ln>
            <a:effectLst/>
          </c:spPr>
          <c:invertIfNegative val="0"/>
          <c:cat>
            <c:multiLvlStrRef>
              <c:f>'[KEMIS II technical report_14042023_AN.xlsx]Graphs'!$B$63:$I$64</c:f>
              <c:multiLvlStrCache>
                <c:ptCount val="8"/>
                <c:lvl>
                  <c:pt idx="0">
                    <c:v>Nil</c:v>
                  </c:pt>
                  <c:pt idx="1">
                    <c:v>Low</c:v>
                  </c:pt>
                  <c:pt idx="2">
                    <c:v>Moderate</c:v>
                  </c:pt>
                  <c:pt idx="3">
                    <c:v>High</c:v>
                  </c:pt>
                  <c:pt idx="4">
                    <c:v>Nil</c:v>
                  </c:pt>
                  <c:pt idx="5">
                    <c:v>Low</c:v>
                  </c:pt>
                  <c:pt idx="6">
                    <c:v>Moderate</c:v>
                  </c:pt>
                  <c:pt idx="7">
                    <c:v>High</c:v>
                  </c:pt>
                </c:lvl>
                <c:lvl>
                  <c:pt idx="0">
                    <c:v>Korogocho</c:v>
                  </c:pt>
                  <c:pt idx="4">
                    <c:v>Viwandani</c:v>
                  </c:pt>
                </c:lvl>
              </c:multiLvlStrCache>
            </c:multiLvlStrRef>
          </c:cat>
          <c:val>
            <c:numRef>
              <c:f>'[KEMIS II technical report_14042023_AN.xlsx]Graphs'!$B$68:$I$68</c:f>
              <c:numCache>
                <c:formatCode>0</c:formatCode>
                <c:ptCount val="8"/>
                <c:pt idx="0">
                  <c:v>43.33</c:v>
                </c:pt>
                <c:pt idx="1">
                  <c:v>23.33</c:v>
                </c:pt>
                <c:pt idx="2">
                  <c:v>23.33</c:v>
                </c:pt>
                <c:pt idx="3">
                  <c:v>10</c:v>
                </c:pt>
                <c:pt idx="4">
                  <c:v>42.25</c:v>
                </c:pt>
                <c:pt idx="5">
                  <c:v>30.99</c:v>
                </c:pt>
                <c:pt idx="6">
                  <c:v>14.08</c:v>
                </c:pt>
                <c:pt idx="7">
                  <c:v>12.68</c:v>
                </c:pt>
              </c:numCache>
            </c:numRef>
          </c:val>
          <c:extLst>
            <c:ext xmlns:c16="http://schemas.microsoft.com/office/drawing/2014/chart" uri="{C3380CC4-5D6E-409C-BE32-E72D297353CC}">
              <c16:uniqueId val="{00000003-2BC9-411C-81E2-698E8891CFD9}"/>
            </c:ext>
          </c:extLst>
        </c:ser>
        <c:ser>
          <c:idx val="4"/>
          <c:order val="4"/>
          <c:tx>
            <c:strRef>
              <c:f>'[KEMIS II technical report_14042023_AN.xlsx]Graphs'!$A$69</c:f>
              <c:strCache>
                <c:ptCount val="1"/>
                <c:pt idx="0">
                  <c:v>45-54</c:v>
                </c:pt>
              </c:strCache>
            </c:strRef>
          </c:tx>
          <c:spPr>
            <a:solidFill>
              <a:schemeClr val="accent5"/>
            </a:solidFill>
            <a:ln>
              <a:noFill/>
            </a:ln>
            <a:effectLst/>
          </c:spPr>
          <c:invertIfNegative val="0"/>
          <c:cat>
            <c:multiLvlStrRef>
              <c:f>'[KEMIS II technical report_14042023_AN.xlsx]Graphs'!$B$63:$I$64</c:f>
              <c:multiLvlStrCache>
                <c:ptCount val="8"/>
                <c:lvl>
                  <c:pt idx="0">
                    <c:v>Nil</c:v>
                  </c:pt>
                  <c:pt idx="1">
                    <c:v>Low</c:v>
                  </c:pt>
                  <c:pt idx="2">
                    <c:v>Moderate</c:v>
                  </c:pt>
                  <c:pt idx="3">
                    <c:v>High</c:v>
                  </c:pt>
                  <c:pt idx="4">
                    <c:v>Nil</c:v>
                  </c:pt>
                  <c:pt idx="5">
                    <c:v>Low</c:v>
                  </c:pt>
                  <c:pt idx="6">
                    <c:v>Moderate</c:v>
                  </c:pt>
                  <c:pt idx="7">
                    <c:v>High</c:v>
                  </c:pt>
                </c:lvl>
                <c:lvl>
                  <c:pt idx="0">
                    <c:v>Korogocho</c:v>
                  </c:pt>
                  <c:pt idx="4">
                    <c:v>Viwandani</c:v>
                  </c:pt>
                </c:lvl>
              </c:multiLvlStrCache>
            </c:multiLvlStrRef>
          </c:cat>
          <c:val>
            <c:numRef>
              <c:f>'[KEMIS II technical report_14042023_AN.xlsx]Graphs'!$B$69:$I$69</c:f>
              <c:numCache>
                <c:formatCode>0</c:formatCode>
                <c:ptCount val="8"/>
                <c:pt idx="0">
                  <c:v>58.54</c:v>
                </c:pt>
                <c:pt idx="1">
                  <c:v>19.510000000000002</c:v>
                </c:pt>
                <c:pt idx="2">
                  <c:v>9.76</c:v>
                </c:pt>
                <c:pt idx="3">
                  <c:v>12.2</c:v>
                </c:pt>
                <c:pt idx="4">
                  <c:v>44.83</c:v>
                </c:pt>
                <c:pt idx="5">
                  <c:v>32.76</c:v>
                </c:pt>
                <c:pt idx="6">
                  <c:v>20.69</c:v>
                </c:pt>
                <c:pt idx="7">
                  <c:v>1.72</c:v>
                </c:pt>
              </c:numCache>
            </c:numRef>
          </c:val>
          <c:extLst>
            <c:ext xmlns:c16="http://schemas.microsoft.com/office/drawing/2014/chart" uri="{C3380CC4-5D6E-409C-BE32-E72D297353CC}">
              <c16:uniqueId val="{00000004-2BC9-411C-81E2-698E8891CFD9}"/>
            </c:ext>
          </c:extLst>
        </c:ser>
        <c:ser>
          <c:idx val="5"/>
          <c:order val="5"/>
          <c:tx>
            <c:strRef>
              <c:f>'[KEMIS II technical report_14042023_AN.xlsx]Graphs'!$A$70</c:f>
              <c:strCache>
                <c:ptCount val="1"/>
                <c:pt idx="0">
                  <c:v>55-64</c:v>
                </c:pt>
              </c:strCache>
            </c:strRef>
          </c:tx>
          <c:spPr>
            <a:solidFill>
              <a:schemeClr val="accent6"/>
            </a:solidFill>
            <a:ln>
              <a:noFill/>
            </a:ln>
            <a:effectLst/>
          </c:spPr>
          <c:invertIfNegative val="0"/>
          <c:cat>
            <c:multiLvlStrRef>
              <c:f>'[KEMIS II technical report_14042023_AN.xlsx]Graphs'!$B$63:$I$64</c:f>
              <c:multiLvlStrCache>
                <c:ptCount val="8"/>
                <c:lvl>
                  <c:pt idx="0">
                    <c:v>Nil</c:v>
                  </c:pt>
                  <c:pt idx="1">
                    <c:v>Low</c:v>
                  </c:pt>
                  <c:pt idx="2">
                    <c:v>Moderate</c:v>
                  </c:pt>
                  <c:pt idx="3">
                    <c:v>High</c:v>
                  </c:pt>
                  <c:pt idx="4">
                    <c:v>Nil</c:v>
                  </c:pt>
                  <c:pt idx="5">
                    <c:v>Low</c:v>
                  </c:pt>
                  <c:pt idx="6">
                    <c:v>Moderate</c:v>
                  </c:pt>
                  <c:pt idx="7">
                    <c:v>High</c:v>
                  </c:pt>
                </c:lvl>
                <c:lvl>
                  <c:pt idx="0">
                    <c:v>Korogocho</c:v>
                  </c:pt>
                  <c:pt idx="4">
                    <c:v>Viwandani</c:v>
                  </c:pt>
                </c:lvl>
              </c:multiLvlStrCache>
            </c:multiLvlStrRef>
          </c:cat>
          <c:val>
            <c:numRef>
              <c:f>'[KEMIS II technical report_14042023_AN.xlsx]Graphs'!$B$70:$I$70</c:f>
              <c:numCache>
                <c:formatCode>0</c:formatCode>
                <c:ptCount val="8"/>
                <c:pt idx="0">
                  <c:v>45.65</c:v>
                </c:pt>
                <c:pt idx="1">
                  <c:v>30.43</c:v>
                </c:pt>
                <c:pt idx="2">
                  <c:v>13.04</c:v>
                </c:pt>
                <c:pt idx="3">
                  <c:v>10.87</c:v>
                </c:pt>
                <c:pt idx="4">
                  <c:v>48.15</c:v>
                </c:pt>
                <c:pt idx="5">
                  <c:v>31.48</c:v>
                </c:pt>
                <c:pt idx="6">
                  <c:v>18.52</c:v>
                </c:pt>
                <c:pt idx="7">
                  <c:v>1.85</c:v>
                </c:pt>
              </c:numCache>
            </c:numRef>
          </c:val>
          <c:extLst>
            <c:ext xmlns:c16="http://schemas.microsoft.com/office/drawing/2014/chart" uri="{C3380CC4-5D6E-409C-BE32-E72D297353CC}">
              <c16:uniqueId val="{00000005-2BC9-411C-81E2-698E8891CFD9}"/>
            </c:ext>
          </c:extLst>
        </c:ser>
        <c:ser>
          <c:idx val="6"/>
          <c:order val="6"/>
          <c:tx>
            <c:strRef>
              <c:f>'[KEMIS II technical report_14042023_AN.xlsx]Graphs'!$A$71</c:f>
              <c:strCache>
                <c:ptCount val="1"/>
                <c:pt idx="0">
                  <c:v>65 and more</c:v>
                </c:pt>
              </c:strCache>
            </c:strRef>
          </c:tx>
          <c:spPr>
            <a:solidFill>
              <a:schemeClr val="accent1">
                <a:lumMod val="60000"/>
              </a:schemeClr>
            </a:solidFill>
            <a:ln>
              <a:noFill/>
            </a:ln>
            <a:effectLst/>
          </c:spPr>
          <c:invertIfNegative val="0"/>
          <c:cat>
            <c:multiLvlStrRef>
              <c:f>'[KEMIS II technical report_14042023_AN.xlsx]Graphs'!$B$63:$I$64</c:f>
              <c:multiLvlStrCache>
                <c:ptCount val="8"/>
                <c:lvl>
                  <c:pt idx="0">
                    <c:v>Nil</c:v>
                  </c:pt>
                  <c:pt idx="1">
                    <c:v>Low</c:v>
                  </c:pt>
                  <c:pt idx="2">
                    <c:v>Moderate</c:v>
                  </c:pt>
                  <c:pt idx="3">
                    <c:v>High</c:v>
                  </c:pt>
                  <c:pt idx="4">
                    <c:v>Nil</c:v>
                  </c:pt>
                  <c:pt idx="5">
                    <c:v>Low</c:v>
                  </c:pt>
                  <c:pt idx="6">
                    <c:v>Moderate</c:v>
                  </c:pt>
                  <c:pt idx="7">
                    <c:v>High</c:v>
                  </c:pt>
                </c:lvl>
                <c:lvl>
                  <c:pt idx="0">
                    <c:v>Korogocho</c:v>
                  </c:pt>
                  <c:pt idx="4">
                    <c:v>Viwandani</c:v>
                  </c:pt>
                </c:lvl>
              </c:multiLvlStrCache>
            </c:multiLvlStrRef>
          </c:cat>
          <c:val>
            <c:numRef>
              <c:f>'[KEMIS II technical report_14042023_AN.xlsx]Graphs'!$B$71:$I$71</c:f>
              <c:numCache>
                <c:formatCode>0</c:formatCode>
                <c:ptCount val="8"/>
                <c:pt idx="0">
                  <c:v>28.57</c:v>
                </c:pt>
                <c:pt idx="1">
                  <c:v>50</c:v>
                </c:pt>
                <c:pt idx="2">
                  <c:v>17.86</c:v>
                </c:pt>
                <c:pt idx="3">
                  <c:v>3.57</c:v>
                </c:pt>
                <c:pt idx="4">
                  <c:v>53.57</c:v>
                </c:pt>
                <c:pt idx="5">
                  <c:v>35.71</c:v>
                </c:pt>
                <c:pt idx="6">
                  <c:v>10.71</c:v>
                </c:pt>
                <c:pt idx="7">
                  <c:v>0</c:v>
                </c:pt>
              </c:numCache>
            </c:numRef>
          </c:val>
          <c:extLst>
            <c:ext xmlns:c16="http://schemas.microsoft.com/office/drawing/2014/chart" uri="{C3380CC4-5D6E-409C-BE32-E72D297353CC}">
              <c16:uniqueId val="{00000006-2BC9-411C-81E2-698E8891CFD9}"/>
            </c:ext>
          </c:extLst>
        </c:ser>
        <c:dLbls>
          <c:showLegendKey val="0"/>
          <c:showVal val="0"/>
          <c:showCatName val="0"/>
          <c:showSerName val="0"/>
          <c:showPercent val="0"/>
          <c:showBubbleSize val="0"/>
        </c:dLbls>
        <c:gapWidth val="219"/>
        <c:axId val="1091722992"/>
        <c:axId val="1091710928"/>
      </c:barChart>
      <c:catAx>
        <c:axId val="1091722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1710928"/>
        <c:crosses val="autoZero"/>
        <c:auto val="1"/>
        <c:lblAlgn val="ctr"/>
        <c:lblOffset val="100"/>
        <c:noMultiLvlLbl val="0"/>
      </c:catAx>
      <c:valAx>
        <c:axId val="1091710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Percentage</a:t>
                </a:r>
              </a:p>
            </c:rich>
          </c:tx>
          <c:overlay val="0"/>
          <c:spPr>
            <a:noFill/>
            <a:ln>
              <a:noFill/>
            </a:ln>
            <a:effectLst/>
          </c:spPr>
          <c:txPr>
            <a:bodyPr rot="-54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91722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Prevalence of SARS CoV-2 antibodies by work status and place of residence </a:t>
            </a:r>
          </a:p>
        </c:rich>
      </c:tx>
      <c:overlay val="0"/>
      <c:spPr>
        <a:noFill/>
        <a:ln>
          <a:noFill/>
        </a:ln>
        <a:effectLst/>
      </c:spPr>
      <c:txPr>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Graphs!$A$166</c:f>
              <c:strCache>
                <c:ptCount val="1"/>
                <c:pt idx="0">
                  <c:v>No</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Graphs!$B$164:$G$165</c:f>
              <c:multiLvlStrCache>
                <c:ptCount val="6"/>
                <c:lvl>
                  <c:pt idx="0">
                    <c:v>Negative</c:v>
                  </c:pt>
                  <c:pt idx="1">
                    <c:v>Positive</c:v>
                  </c:pt>
                  <c:pt idx="2">
                    <c:v>Negative</c:v>
                  </c:pt>
                  <c:pt idx="3">
                    <c:v>Positive</c:v>
                  </c:pt>
                  <c:pt idx="4">
                    <c:v>Negative</c:v>
                  </c:pt>
                  <c:pt idx="5">
                    <c:v>Positive</c:v>
                  </c:pt>
                </c:lvl>
                <c:lvl>
                  <c:pt idx="0">
                    <c:v>Korogocho</c:v>
                  </c:pt>
                  <c:pt idx="2">
                    <c:v>Viwandani</c:v>
                  </c:pt>
                  <c:pt idx="4">
                    <c:v>Total</c:v>
                  </c:pt>
                </c:lvl>
              </c:multiLvlStrCache>
            </c:multiLvlStrRef>
          </c:cat>
          <c:val>
            <c:numRef>
              <c:f>Graphs!$B$166:$G$166</c:f>
              <c:numCache>
                <c:formatCode>0.0</c:formatCode>
                <c:ptCount val="6"/>
                <c:pt idx="0">
                  <c:v>12.11</c:v>
                </c:pt>
                <c:pt idx="1">
                  <c:v>87.89</c:v>
                </c:pt>
                <c:pt idx="2">
                  <c:v>3.63</c:v>
                </c:pt>
                <c:pt idx="3">
                  <c:v>96.37</c:v>
                </c:pt>
                <c:pt idx="4">
                  <c:v>7.26</c:v>
                </c:pt>
                <c:pt idx="5">
                  <c:v>92.74</c:v>
                </c:pt>
              </c:numCache>
            </c:numRef>
          </c:val>
          <c:extLst>
            <c:ext xmlns:c16="http://schemas.microsoft.com/office/drawing/2014/chart" uri="{C3380CC4-5D6E-409C-BE32-E72D297353CC}">
              <c16:uniqueId val="{00000000-B83D-444B-9E0D-204304B53555}"/>
            </c:ext>
          </c:extLst>
        </c:ser>
        <c:ser>
          <c:idx val="1"/>
          <c:order val="1"/>
          <c:tx>
            <c:strRef>
              <c:f>Graphs!$A$167</c:f>
              <c:strCache>
                <c:ptCount val="1"/>
                <c:pt idx="0">
                  <c:v>Yes,myself or another household member</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Graphs!$B$164:$G$165</c:f>
              <c:multiLvlStrCache>
                <c:ptCount val="6"/>
                <c:lvl>
                  <c:pt idx="0">
                    <c:v>Negative</c:v>
                  </c:pt>
                  <c:pt idx="1">
                    <c:v>Positive</c:v>
                  </c:pt>
                  <c:pt idx="2">
                    <c:v>Negative</c:v>
                  </c:pt>
                  <c:pt idx="3">
                    <c:v>Positive</c:v>
                  </c:pt>
                  <c:pt idx="4">
                    <c:v>Negative</c:v>
                  </c:pt>
                  <c:pt idx="5">
                    <c:v>Positive</c:v>
                  </c:pt>
                </c:lvl>
                <c:lvl>
                  <c:pt idx="0">
                    <c:v>Korogocho</c:v>
                  </c:pt>
                  <c:pt idx="2">
                    <c:v>Viwandani</c:v>
                  </c:pt>
                  <c:pt idx="4">
                    <c:v>Total</c:v>
                  </c:pt>
                </c:lvl>
              </c:multiLvlStrCache>
            </c:multiLvlStrRef>
          </c:cat>
          <c:val>
            <c:numRef>
              <c:f>Graphs!$B$167:$G$167</c:f>
              <c:numCache>
                <c:formatCode>0.0</c:formatCode>
                <c:ptCount val="6"/>
                <c:pt idx="0">
                  <c:v>16.670000000000002</c:v>
                </c:pt>
                <c:pt idx="1">
                  <c:v>83.33</c:v>
                </c:pt>
                <c:pt idx="2">
                  <c:v>7.09</c:v>
                </c:pt>
                <c:pt idx="3">
                  <c:v>92.91</c:v>
                </c:pt>
                <c:pt idx="4">
                  <c:v>9.7100000000000009</c:v>
                </c:pt>
                <c:pt idx="5">
                  <c:v>90.29</c:v>
                </c:pt>
              </c:numCache>
            </c:numRef>
          </c:val>
          <c:extLst>
            <c:ext xmlns:c16="http://schemas.microsoft.com/office/drawing/2014/chart" uri="{C3380CC4-5D6E-409C-BE32-E72D297353CC}">
              <c16:uniqueId val="{00000001-B83D-444B-9E0D-204304B53555}"/>
            </c:ext>
          </c:extLst>
        </c:ser>
        <c:dLbls>
          <c:dLblPos val="outEnd"/>
          <c:showLegendKey val="0"/>
          <c:showVal val="1"/>
          <c:showCatName val="0"/>
          <c:showSerName val="0"/>
          <c:showPercent val="0"/>
          <c:showBubbleSize val="0"/>
        </c:dLbls>
        <c:gapWidth val="219"/>
        <c:overlap val="-27"/>
        <c:axId val="77288384"/>
        <c:axId val="77293792"/>
      </c:barChart>
      <c:catAx>
        <c:axId val="77288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293792"/>
        <c:crosses val="autoZero"/>
        <c:auto val="1"/>
        <c:lblAlgn val="ctr"/>
        <c:lblOffset val="100"/>
        <c:noMultiLvlLbl val="0"/>
      </c:catAx>
      <c:valAx>
        <c:axId val="772937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77288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25</Pages>
  <Words>5604</Words>
  <Characters>31949</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Maurine Ng’oda</dc:creator>
  <cp:keywords/>
  <dc:description/>
  <cp:lastModifiedBy>Maurine Ng’oda</cp:lastModifiedBy>
  <cp:revision>2</cp:revision>
  <dcterms:created xsi:type="dcterms:W3CDTF">2023-07-20T14:16:00Z</dcterms:created>
  <dcterms:modified xsi:type="dcterms:W3CDTF">2023-07-20T14:16:00Z</dcterms:modified>
</cp:coreProperties>
</file>