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B694A35" w14:textId="77777777" w:rsidR="00CC7D76" w:rsidRDefault="00CC7D76">
      <w:pPr>
        <w:spacing w:line="360" w:lineRule="auto"/>
        <w:jc w:val="both"/>
        <w:rPr>
          <w:rFonts w:ascii="Times New Roman" w:eastAsia="Times New Roman" w:hAnsi="Times New Roman" w:cs="Times New Roman"/>
          <w:b/>
          <w:sz w:val="24"/>
          <w:szCs w:val="24"/>
        </w:rPr>
      </w:pPr>
      <w:bookmarkStart w:id="0" w:name="gjdgxs" w:colFirst="0" w:colLast="0"/>
      <w:bookmarkStart w:id="1" w:name="_GoBack"/>
      <w:bookmarkEnd w:id="0"/>
      <w:bookmarkEnd w:id="1"/>
    </w:p>
    <w:p w14:paraId="4150D016" w14:textId="77777777" w:rsidR="00CC7D76" w:rsidRDefault="003547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Title: Using innovative participatory methods to stimulate dialogue on the right to food for the urban poor, Nairobi, Kenya</w:t>
      </w:r>
    </w:p>
    <w:p w14:paraId="544BA725" w14:textId="77777777" w:rsidR="00CC7D76" w:rsidRDefault="00CC7D76">
      <w:pPr>
        <w:spacing w:line="360" w:lineRule="auto"/>
        <w:jc w:val="both"/>
        <w:rPr>
          <w:rFonts w:ascii="Times New Roman" w:eastAsia="Times New Roman" w:hAnsi="Times New Roman" w:cs="Times New Roman"/>
          <w:sz w:val="24"/>
          <w:szCs w:val="24"/>
        </w:rPr>
      </w:pPr>
    </w:p>
    <w:p w14:paraId="75581765"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Investigators</w:t>
      </w:r>
    </w:p>
    <w:p w14:paraId="4F867F8B"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Principal Investigator</w:t>
      </w:r>
    </w:p>
    <w:p w14:paraId="75D7C917"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 Elizabeth Kimani-Murage, Research Scientist; APHRC</w:t>
      </w:r>
    </w:p>
    <w:p w14:paraId="724A7023"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Floor, APHRC Campus; Manga Close, off Kirawa Road, Kitisuru.</w:t>
      </w:r>
    </w:p>
    <w:p w14:paraId="2CBCE76D" w14:textId="77777777" w:rsidR="00CC7D76" w:rsidRPr="001A7056" w:rsidRDefault="003547EE">
      <w:pPr>
        <w:spacing w:line="360" w:lineRule="auto"/>
        <w:jc w:val="both"/>
        <w:rPr>
          <w:rFonts w:ascii="Times New Roman" w:eastAsia="Times New Roman" w:hAnsi="Times New Roman" w:cs="Times New Roman"/>
          <w:sz w:val="24"/>
          <w:szCs w:val="24"/>
          <w:lang w:val="fr-FR"/>
        </w:rPr>
      </w:pPr>
      <w:r w:rsidRPr="001A7056">
        <w:rPr>
          <w:rFonts w:ascii="Times New Roman" w:eastAsia="Times New Roman" w:hAnsi="Times New Roman" w:cs="Times New Roman"/>
          <w:sz w:val="24"/>
          <w:szCs w:val="24"/>
          <w:lang w:val="fr-FR"/>
        </w:rPr>
        <w:t>P.O. Box 10787 Nairobi, 00100 GPO.</w:t>
      </w:r>
    </w:p>
    <w:p w14:paraId="66070C0C"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Telephone: 020 400 1000</w:t>
      </w:r>
    </w:p>
    <w:p w14:paraId="37662531"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8">
        <w:r>
          <w:rPr>
            <w:rFonts w:ascii="Times New Roman" w:eastAsia="Times New Roman" w:hAnsi="Times New Roman" w:cs="Times New Roman"/>
            <w:sz w:val="24"/>
            <w:szCs w:val="24"/>
          </w:rPr>
          <w:t>ekimani@aphrc.org</w:t>
        </w:r>
      </w:hyperlink>
      <w:r>
        <w:rPr>
          <w:rFonts w:ascii="Times New Roman" w:eastAsia="Times New Roman" w:hAnsi="Times New Roman" w:cs="Times New Roman"/>
          <w:sz w:val="24"/>
          <w:szCs w:val="24"/>
        </w:rPr>
        <w:t xml:space="preserve"> </w:t>
      </w:r>
    </w:p>
    <w:p w14:paraId="64AD93CD" w14:textId="77777777" w:rsidR="00CC7D76" w:rsidRDefault="00CC7D76">
      <w:pPr>
        <w:spacing w:line="360" w:lineRule="auto"/>
        <w:jc w:val="both"/>
        <w:rPr>
          <w:rFonts w:ascii="Times New Roman" w:eastAsia="Times New Roman" w:hAnsi="Times New Roman" w:cs="Times New Roman"/>
          <w:sz w:val="24"/>
          <w:szCs w:val="24"/>
        </w:rPr>
      </w:pPr>
    </w:p>
    <w:p w14:paraId="720C18DB"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Co-investigators</w:t>
      </w:r>
    </w:p>
    <w:p w14:paraId="55226D4A" w14:textId="6BFC8B49"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Teresia Njoki, Research Assistant, APHRC</w:t>
      </w:r>
    </w:p>
    <w:p w14:paraId="24C780BC" w14:textId="050E19AE"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Danielle Doughman, Policy </w:t>
      </w:r>
      <w:r w:rsidR="006376C7">
        <w:rPr>
          <w:rFonts w:ascii="Times New Roman" w:eastAsia="Times New Roman" w:hAnsi="Times New Roman" w:cs="Times New Roman"/>
          <w:sz w:val="24"/>
          <w:szCs w:val="24"/>
        </w:rPr>
        <w:t xml:space="preserve">Outreach </w:t>
      </w:r>
      <w:r>
        <w:rPr>
          <w:rFonts w:ascii="Times New Roman" w:eastAsia="Times New Roman" w:hAnsi="Times New Roman" w:cs="Times New Roman"/>
          <w:sz w:val="24"/>
          <w:szCs w:val="24"/>
        </w:rPr>
        <w:t>Manager, APHRC.</w:t>
      </w:r>
    </w:p>
    <w:p w14:paraId="14A25F67"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Caroline Gatura, Policy Engagement Officer, APHRC, </w:t>
      </w:r>
    </w:p>
    <w:p w14:paraId="3432A140" w14:textId="77777777" w:rsidR="00CC7D76" w:rsidRDefault="00CC7D76">
      <w:pPr>
        <w:spacing w:line="360" w:lineRule="auto"/>
        <w:jc w:val="both"/>
        <w:rPr>
          <w:rFonts w:ascii="Times New Roman" w:eastAsia="Times New Roman" w:hAnsi="Times New Roman" w:cs="Times New Roman"/>
          <w:sz w:val="24"/>
          <w:szCs w:val="24"/>
        </w:rPr>
      </w:pPr>
    </w:p>
    <w:p w14:paraId="1560DBE2"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Collaborators:</w:t>
      </w:r>
    </w:p>
    <w:p w14:paraId="3FE03974" w14:textId="77777777" w:rsidR="00CC7D76" w:rsidRDefault="003547E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Dr. Kariuki Muigua, </w:t>
      </w:r>
      <w:r>
        <w:rPr>
          <w:rFonts w:ascii="Times New Roman" w:eastAsia="Times New Roman" w:hAnsi="Times New Roman" w:cs="Times New Roman"/>
          <w:sz w:val="24"/>
          <w:szCs w:val="24"/>
        </w:rPr>
        <w:t>Nairobi University</w:t>
      </w:r>
    </w:p>
    <w:p w14:paraId="1808F481"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 Claudia Mitchell, </w:t>
      </w:r>
      <w:r>
        <w:rPr>
          <w:rFonts w:ascii="Times New Roman" w:eastAsia="Times New Roman" w:hAnsi="Times New Roman" w:cs="Times New Roman"/>
          <w:sz w:val="24"/>
          <w:szCs w:val="24"/>
          <w:highlight w:val="white"/>
        </w:rPr>
        <w:t>McGill University, Canada</w:t>
      </w:r>
    </w:p>
    <w:p w14:paraId="2A98B8C7"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Jennifer Thompson, </w:t>
      </w:r>
      <w:r>
        <w:rPr>
          <w:rFonts w:ascii="Times New Roman" w:eastAsia="Times New Roman" w:hAnsi="Times New Roman" w:cs="Times New Roman"/>
          <w:sz w:val="24"/>
          <w:szCs w:val="24"/>
          <w:highlight w:val="white"/>
        </w:rPr>
        <w:t>McGill University, Canada</w:t>
      </w:r>
    </w:p>
    <w:p w14:paraId="3FF581CF" w14:textId="77777777" w:rsidR="00CC7D76" w:rsidRDefault="003547E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Prof Madise N.J, African Institute for Development Policy (AFIDEP)</w:t>
      </w:r>
    </w:p>
    <w:p w14:paraId="4881C208"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Paula Griffiths, Loughborough University, UK. </w:t>
      </w:r>
    </w:p>
    <w:p w14:paraId="3BA7A715" w14:textId="4AE5E3B9" w:rsidR="005F7BA1" w:rsidRDefault="005F7BA1" w:rsidP="005F7B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Dr. Melanie </w:t>
      </w:r>
      <w:r w:rsidR="009277BF">
        <w:rPr>
          <w:rFonts w:ascii="Times New Roman" w:eastAsia="Times New Roman" w:hAnsi="Times New Roman" w:cs="Times New Roman"/>
          <w:color w:val="222222"/>
          <w:sz w:val="24"/>
          <w:szCs w:val="24"/>
          <w:highlight w:val="white"/>
        </w:rPr>
        <w:t>Warwick,</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highlight w:val="white"/>
        </w:rPr>
        <w:t>Loughborough University</w:t>
      </w:r>
      <w:r>
        <w:rPr>
          <w:rFonts w:ascii="Times New Roman" w:eastAsia="Times New Roman" w:hAnsi="Times New Roman" w:cs="Times New Roman"/>
          <w:sz w:val="24"/>
          <w:szCs w:val="24"/>
        </w:rPr>
        <w:t>, UK</w:t>
      </w:r>
    </w:p>
    <w:p w14:paraId="34FD92F6" w14:textId="77777777" w:rsidR="00CC7D76" w:rsidRDefault="003547EE">
      <w:pPr>
        <w:spacing w:line="360" w:lineRule="auto"/>
        <w:jc w:val="both"/>
        <w:rPr>
          <w:rFonts w:ascii="Times New Roman" w:eastAsia="Times New Roman" w:hAnsi="Times New Roman" w:cs="Times New Roman"/>
          <w:sz w:val="24"/>
          <w:szCs w:val="24"/>
          <w:highlight w:val="white"/>
        </w:rPr>
      </w:pPr>
      <w:bookmarkStart w:id="2" w:name="30j0zll" w:colFirst="0" w:colLast="0"/>
      <w:bookmarkEnd w:id="2"/>
      <w:r>
        <w:rPr>
          <w:rFonts w:ascii="Times New Roman" w:eastAsia="Times New Roman" w:hAnsi="Times New Roman" w:cs="Times New Roman"/>
          <w:sz w:val="24"/>
          <w:szCs w:val="24"/>
          <w:highlight w:val="white"/>
        </w:rPr>
        <w:t>Bella Starling, Wellcome Trust Public Engagement Fellow, UK</w:t>
      </w:r>
    </w:p>
    <w:p w14:paraId="17B4C805"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 Rose Oronje, AFIDEP</w:t>
      </w:r>
    </w:p>
    <w:p w14:paraId="409710FF" w14:textId="705E0A7E" w:rsidR="005F7BA1" w:rsidRDefault="009277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Ms </w:t>
      </w:r>
      <w:r w:rsidR="005F7BA1">
        <w:rPr>
          <w:rFonts w:ascii="Times New Roman" w:eastAsia="Times New Roman" w:hAnsi="Times New Roman" w:cs="Times New Roman"/>
          <w:sz w:val="24"/>
          <w:szCs w:val="24"/>
        </w:rPr>
        <w:t xml:space="preserve">Diana Warira, AFIDEP </w:t>
      </w:r>
    </w:p>
    <w:p w14:paraId="0D6A2663" w14:textId="77777777" w:rsidR="00CC7D76" w:rsidRDefault="00CC7D76">
      <w:pPr>
        <w:spacing w:line="360" w:lineRule="auto"/>
        <w:jc w:val="both"/>
        <w:rPr>
          <w:rFonts w:ascii="Times New Roman" w:eastAsia="Times New Roman" w:hAnsi="Times New Roman" w:cs="Times New Roman"/>
          <w:sz w:val="24"/>
          <w:szCs w:val="24"/>
        </w:rPr>
      </w:pPr>
    </w:p>
    <w:p w14:paraId="3C4F4AC7"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48F49194" w14:textId="5432F824"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right to adequate food is a human right recognized under international legal frameworks. It protects the right of all human beings to feed themselves in dignity through food production or purchases. Although it is provided for in the 2010 Kenyan Constitution, many Kenyans do not enjoy it. In urban informal settlements, about 80% of households are food insecure and the prevalence of chronic malnutrition among children under five years is close to 50%. This underscores the need to promote the right to food. Through a Fellowship from the Wellcome Trust, the African Population and Health Research Center (APHRC) is implementing the “Right to Food Project” over two years from January 2018 to December 2019. The core objective of the project is to stimulate dialogue on the nexus between the right to food as stipulated in the international legal framework and the Bill of Rights in the Kenyan Constitution, and the lived experiences with food insecurity among urban poor populations as evidenced by research. The project is being undertaken in Nairobi, targeting urban poor communities. The project is using innovative, public engagement approaches including photovoice, digital storytelling, cellphilming, community dialogues and focus group discussions among other approaches. The target group include urban communities and change agents including policy/decision/law makers. The results, expected by</w:t>
      </w:r>
      <w:r w:rsidR="009204DE">
        <w:rPr>
          <w:rFonts w:ascii="Times New Roman" w:eastAsia="Times New Roman" w:hAnsi="Times New Roman" w:cs="Times New Roman"/>
          <w:sz w:val="24"/>
          <w:szCs w:val="24"/>
        </w:rPr>
        <w:t xml:space="preserve"> December 2018</w:t>
      </w:r>
      <w:r>
        <w:rPr>
          <w:rFonts w:ascii="Times New Roman" w:eastAsia="Times New Roman" w:hAnsi="Times New Roman" w:cs="Times New Roman"/>
          <w:sz w:val="24"/>
          <w:szCs w:val="24"/>
        </w:rPr>
        <w:t xml:space="preserve">, will provide a deeper understanding to vulnerability to food insecurity for the urban poor in Nairobi through the eyes of the community, and propose potential solutions. The public engagement is critical in empowering those most affected to voice their health problems in ways most relevant to them and to contribute in shaping </w:t>
      </w:r>
      <w:r>
        <w:rPr>
          <w:rFonts w:ascii="Times New Roman" w:eastAsia="Times New Roman" w:hAnsi="Times New Roman" w:cs="Times New Roman"/>
          <w:sz w:val="24"/>
          <w:szCs w:val="24"/>
        </w:rPr>
        <w:lastRenderedPageBreak/>
        <w:t xml:space="preserve">solutions to the problems. It is expected that the results will inform actualization of the right to food for the urban poor as envisaged in the Universal Declaration of Human Rights. </w:t>
      </w:r>
    </w:p>
    <w:p w14:paraId="6981BA12" w14:textId="77777777" w:rsidR="00CC7D76" w:rsidRDefault="00CC7D76">
      <w:pPr>
        <w:spacing w:line="360" w:lineRule="auto"/>
        <w:jc w:val="both"/>
        <w:rPr>
          <w:rFonts w:ascii="Times New Roman" w:eastAsia="Times New Roman" w:hAnsi="Times New Roman" w:cs="Times New Roman"/>
          <w:sz w:val="24"/>
          <w:szCs w:val="24"/>
        </w:rPr>
      </w:pPr>
    </w:p>
    <w:p w14:paraId="30CC468A"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Introduction/background </w:t>
      </w:r>
    </w:p>
    <w:p w14:paraId="27BAFB98"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right to adequate food is a human right recognized under international law, which protects the right of all human beings to feed themselves in dignity, either by producing their food or by purchasing it </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As authoritatively defined by the Committee on Economic, Social and Cultural Rights in its General Comment No. 12: “The right to adequate food is realized when every man, woman and child, alone or in community with others, has physical and economic access at all times to adequate food or means for its procurement.” It has also been defined as: “The right to have regular, permanent and unrestricted access, either directly or by means of financial purchases, to quantitatively and qualitatively adequate and sufficient food corresponding to the cultural traditions of the people to which the consumer belongs, and which ensures a physical and mental, individual and collective, fulfilling and dignified life free of fear.”</w:t>
      </w:r>
      <w:r>
        <w:rPr>
          <w:rFonts w:ascii="Times New Roman" w:eastAsia="Times New Roman" w:hAnsi="Times New Roman" w:cs="Times New Roman"/>
          <w:sz w:val="24"/>
          <w:szCs w:val="24"/>
          <w:vertAlign w:val="superscript"/>
        </w:rPr>
        <w:t>2</w:t>
      </w:r>
    </w:p>
    <w:p w14:paraId="4B52B96E"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legal basis for the right to food in international law is found in Article 25 of the Universal Declaration of Human Rights, which recognizes the right of everyone “to a standard of living adequate for the health and wellbeing of himself and of his family, including food.” Furthermore Article 11.1 of the International Covenant on Economic, Social and Cultural Rights (ICESCR) stipulates that States “recognize the right of everyone to an adequate standard of living for himself and his family, including adequate food, clothing and housing, and to the continuous improvement of living conditions”, and requires them to “take appropriate steps to ensure the realization of this right” </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Article 11.2 of the ICESCR also stipulates that States recognize “the fundamental right of everyone to be free from hunger” and details what States individually and collectively must do to fulfil this obligation. The right to adequate food is also recognized in the Convention on the Rights of the Child in Articles 24.2(c) and Article 43 (1) (c) of the Constitution of Kenya, 2010, on the Social and Economic Rights states that ‘every person has a right to be free from hunger, and to have adequate food of acceptable quality’ thus providing for a human rights based approach to food security in Kenya. </w:t>
      </w:r>
    </w:p>
    <w:p w14:paraId="3FA0882E"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Global agenda, including the agenda for sustainable development and the UN Decade on Nutrition 2016-2025 call for all countries and stakeholders to act collaboratively to end hunger and prevent all forms of malnutrition by 2030. Despite this, the world report on food and nutrition security (2017) indicates that hunger is on the rise again despite decline in the last decade, especially due to proliferation of violence and climate change shocks </w:t>
      </w:r>
      <w:r>
        <w:rPr>
          <w:rFonts w:ascii="Times New Roman" w:eastAsia="Times New Roman" w:hAnsi="Times New Roman" w:cs="Times New Roman"/>
          <w:sz w:val="24"/>
          <w:szCs w:val="24"/>
          <w:highlight w:val="white"/>
          <w:vertAlign w:val="superscript"/>
        </w:rPr>
        <w:t>4</w:t>
      </w:r>
      <w:r>
        <w:rPr>
          <w:rFonts w:ascii="Times New Roman" w:eastAsia="Times New Roman" w:hAnsi="Times New Roman" w:cs="Times New Roman"/>
          <w:sz w:val="24"/>
          <w:szCs w:val="24"/>
          <w:highlight w:val="white"/>
        </w:rPr>
        <w:t>.</w:t>
      </w:r>
    </w:p>
    <w:p w14:paraId="0C9510AD"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human-rights-based approach to food security offers new ways of identifying, analysing and solving the problems that underlie hunger and poverty. The rights-based approach empowers individuals and civil society to participate in decision-making, to claim their rights and to demand recourse, holding governments and public officials accountable for their policies and actions. The achievement of the right starts with the individuals who are empowered to claim their right, and who thus trigger changes that, in the end, transform their food security situation.</w:t>
      </w:r>
    </w:p>
    <w:p w14:paraId="0E7C6643" w14:textId="77777777" w:rsidR="00C165C4" w:rsidRPr="00DE6969" w:rsidRDefault="00C165C4" w:rsidP="00C165C4">
      <w:pPr>
        <w:jc w:val="both"/>
        <w:rPr>
          <w:sz w:val="24"/>
          <w:szCs w:val="24"/>
        </w:rPr>
      </w:pPr>
      <w:r w:rsidRPr="00DE6969">
        <w:rPr>
          <w:sz w:val="24"/>
          <w:szCs w:val="24"/>
        </w:rPr>
        <w:t xml:space="preserve">Kenya today is grappling with high cost of living. Food prices among other essential commodities have increased. This has been worsened by the recent addition of Value Added Tax (VAT) on essential commodities such as fuel that is the current subject of debate at both the local and national level. </w:t>
      </w:r>
      <w:r>
        <w:rPr>
          <w:sz w:val="24"/>
          <w:szCs w:val="24"/>
        </w:rPr>
        <w:t xml:space="preserve">The high cost of living has a direct negative impact on food accessibility, a core component of food security. This poses a great challenge to the communities in their quest to enjoy their right to food. </w:t>
      </w:r>
      <w:r w:rsidRPr="00DE6969">
        <w:rPr>
          <w:sz w:val="24"/>
          <w:szCs w:val="24"/>
        </w:rPr>
        <w:t>The urban informal settlements, where the project and study is based, are normally the worst hit by such economic hard times. The high cost of living could therefore precipitate monetary gift expectations from participants taking part in the study. It could also impact on the availability of the participants as most of them could need to work extra hard and put in more time to work as a coping strategy to the economic situation. The project may also have to stretch its budget due to increased cost of commodities and services. These are some of the foreseen challenges to this study.</w:t>
      </w:r>
    </w:p>
    <w:p w14:paraId="4395369C" w14:textId="22D2DD31" w:rsidR="008A0C2B" w:rsidRDefault="008A0C2B">
      <w:pPr>
        <w:spacing w:line="360" w:lineRule="auto"/>
        <w:jc w:val="both"/>
        <w:rPr>
          <w:rFonts w:ascii="Times New Roman" w:eastAsia="Times New Roman" w:hAnsi="Times New Roman" w:cs="Times New Roman"/>
          <w:sz w:val="24"/>
          <w:szCs w:val="24"/>
        </w:rPr>
      </w:pPr>
    </w:p>
    <w:p w14:paraId="4DAD66A8"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Problem statement</w:t>
      </w:r>
    </w:p>
    <w:p w14:paraId="10482283" w14:textId="740EDCC8"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groups or individuals face specific hurdles in relation to the right to food. These can result from biological or socio-economic factors, discrimination and stigma, or, generally, a combination of these</w:t>
      </w:r>
      <w:r w:rsidR="003E12BB">
        <w:rPr>
          <w:rFonts w:ascii="Times New Roman" w:eastAsia="Times New Roman" w:hAnsi="Times New Roman" w:cs="Times New Roman"/>
          <w:sz w:val="24"/>
          <w:szCs w:val="24"/>
        </w:rPr>
        <w:t>. T</w:t>
      </w:r>
      <w:r w:rsidR="009204DE">
        <w:rPr>
          <w:rFonts w:ascii="Times New Roman" w:eastAsia="Times New Roman" w:hAnsi="Times New Roman" w:cs="Times New Roman"/>
          <w:sz w:val="24"/>
          <w:szCs w:val="24"/>
        </w:rPr>
        <w:t>he urban poor population</w:t>
      </w:r>
      <w:r w:rsidR="003834E2">
        <w:rPr>
          <w:rFonts w:ascii="Times New Roman" w:eastAsia="Times New Roman" w:hAnsi="Times New Roman" w:cs="Times New Roman"/>
          <w:sz w:val="24"/>
          <w:szCs w:val="24"/>
        </w:rPr>
        <w:t xml:space="preserve"> in Nairobi</w:t>
      </w:r>
      <w:r w:rsidR="009204DE">
        <w:rPr>
          <w:rFonts w:ascii="Times New Roman" w:eastAsia="Times New Roman" w:hAnsi="Times New Roman" w:cs="Times New Roman"/>
          <w:sz w:val="24"/>
          <w:szCs w:val="24"/>
        </w:rPr>
        <w:t xml:space="preserve"> fall</w:t>
      </w:r>
      <w:r w:rsidR="003E12BB">
        <w:rPr>
          <w:rFonts w:ascii="Times New Roman" w:eastAsia="Times New Roman" w:hAnsi="Times New Roman" w:cs="Times New Roman"/>
          <w:sz w:val="24"/>
          <w:szCs w:val="24"/>
        </w:rPr>
        <w:t>s</w:t>
      </w:r>
      <w:r w:rsidR="009204DE">
        <w:rPr>
          <w:rFonts w:ascii="Times New Roman" w:eastAsia="Times New Roman" w:hAnsi="Times New Roman" w:cs="Times New Roman"/>
          <w:sz w:val="24"/>
          <w:szCs w:val="24"/>
        </w:rPr>
        <w:t xml:space="preserve"> under this group</w:t>
      </w:r>
      <w:r w:rsidR="003834E2">
        <w:rPr>
          <w:rFonts w:ascii="Times New Roman" w:eastAsia="Times New Roman" w:hAnsi="Times New Roman" w:cs="Times New Roman"/>
          <w:sz w:val="24"/>
          <w:szCs w:val="24"/>
        </w:rPr>
        <w:t xml:space="preserve">, </w:t>
      </w:r>
      <w:r w:rsidR="009204DE">
        <w:rPr>
          <w:rFonts w:ascii="Times New Roman" w:eastAsia="Times New Roman" w:hAnsi="Times New Roman" w:cs="Times New Roman"/>
          <w:sz w:val="24"/>
          <w:szCs w:val="24"/>
        </w:rPr>
        <w:t>as their socioeconomic status is usually unstable whilst they mainly rely on purchas</w:t>
      </w:r>
      <w:r w:rsidR="003834E2">
        <w:rPr>
          <w:rFonts w:ascii="Times New Roman" w:eastAsia="Times New Roman" w:hAnsi="Times New Roman" w:cs="Times New Roman"/>
          <w:sz w:val="24"/>
          <w:szCs w:val="24"/>
        </w:rPr>
        <w:t>ed</w:t>
      </w:r>
      <w:r w:rsidR="009204DE">
        <w:rPr>
          <w:rFonts w:ascii="Times New Roman" w:eastAsia="Times New Roman" w:hAnsi="Times New Roman" w:cs="Times New Roman"/>
          <w:sz w:val="24"/>
          <w:szCs w:val="24"/>
        </w:rPr>
        <w:t xml:space="preserve"> </w:t>
      </w:r>
      <w:r w:rsidR="009204DE" w:rsidRPr="00DB46B9">
        <w:rPr>
          <w:rFonts w:ascii="Times New Roman" w:eastAsia="Times New Roman" w:hAnsi="Times New Roman" w:cs="Times New Roman"/>
          <w:sz w:val="24"/>
          <w:szCs w:val="24"/>
        </w:rPr>
        <w:t>food</w:t>
      </w:r>
      <w:r w:rsidR="00DB46B9" w:rsidRPr="00DB46B9">
        <w:rPr>
          <w:rFonts w:ascii="Times New Roman" w:eastAsia="Times New Roman" w:hAnsi="Times New Roman" w:cs="Times New Roman"/>
          <w:sz w:val="24"/>
          <w:szCs w:val="24"/>
          <w:vertAlign w:val="superscript"/>
        </w:rPr>
        <w:t>5</w:t>
      </w:r>
      <w:r w:rsidRPr="00DB46B9">
        <w:rPr>
          <w:rFonts w:ascii="Times New Roman" w:eastAsia="Times New Roman" w:hAnsi="Times New Roman" w:cs="Times New Roman"/>
          <w:sz w:val="24"/>
          <w:szCs w:val="24"/>
        </w:rPr>
        <w:t>. The right</w:t>
      </w:r>
      <w:r>
        <w:rPr>
          <w:rFonts w:ascii="Times New Roman" w:eastAsia="Times New Roman" w:hAnsi="Times New Roman" w:cs="Times New Roman"/>
          <w:sz w:val="24"/>
          <w:szCs w:val="24"/>
        </w:rPr>
        <w:t xml:space="preserve"> to food and the principles of equality and non-discrimination require specific attention to be paid to different individuals and groups of individuals in society, in particular those in vulnerable situations. Often people living in poverty cannot fully enjoy the right to food because they cannot afford to buy adequate food nor the means to grow it themselves.</w:t>
      </w:r>
    </w:p>
    <w:p w14:paraId="3A60A926" w14:textId="426659C4" w:rsidR="00CC7D76" w:rsidRDefault="003547EE">
      <w:pPr>
        <w:spacing w:after="0" w:line="360" w:lineRule="auto"/>
        <w:jc w:val="both"/>
        <w:rPr>
          <w:rFonts w:ascii="Times New Roman" w:eastAsia="Times New Roman" w:hAnsi="Times New Roman" w:cs="Times New Roman"/>
          <w:color w:val="504F4F"/>
          <w:sz w:val="24"/>
          <w:szCs w:val="24"/>
        </w:rPr>
      </w:pPr>
      <w:r>
        <w:rPr>
          <w:rFonts w:ascii="Times New Roman" w:eastAsia="Times New Roman" w:hAnsi="Times New Roman" w:cs="Times New Roman"/>
          <w:sz w:val="24"/>
          <w:szCs w:val="24"/>
          <w:highlight w:val="white"/>
        </w:rPr>
        <w:t>Rapid urbanization in sub-Saharan Africa, unmatched by economic growth and proper urban planning has resulted in urban informality and rising levels of urban poverty and high levels of food insecurity, as is the case in Kenya</w:t>
      </w:r>
      <w:r>
        <w:rPr>
          <w:rFonts w:ascii="Times New Roman" w:eastAsia="Times New Roman" w:hAnsi="Times New Roman" w:cs="Times New Roman"/>
          <w:sz w:val="24"/>
          <w:szCs w:val="24"/>
          <w:highlight w:val="white"/>
          <w:vertAlign w:val="superscript"/>
        </w:rPr>
        <w:t>5</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A recent study conducted in urban poor settings in Nairobi, Kenya, indicates that a majority of households (</w:t>
      </w:r>
      <w:r w:rsidR="002B3CD9">
        <w:rPr>
          <w:rFonts w:ascii="Times New Roman" w:eastAsia="Times New Roman" w:hAnsi="Times New Roman" w:cs="Times New Roman"/>
          <w:sz w:val="24"/>
          <w:szCs w:val="24"/>
        </w:rPr>
        <w:t xml:space="preserve">over </w:t>
      </w:r>
      <w:r>
        <w:rPr>
          <w:rFonts w:ascii="Times New Roman" w:eastAsia="Times New Roman" w:hAnsi="Times New Roman" w:cs="Times New Roman"/>
          <w:sz w:val="24"/>
          <w:szCs w:val="24"/>
        </w:rPr>
        <w:t xml:space="preserve">80%) are food insecure </w:t>
      </w:r>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Further, another study in the same setting</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reported a high prevalence of chronic undernutrition (</w:t>
      </w:r>
      <w:r w:rsidR="002B3CD9">
        <w:rPr>
          <w:rFonts w:ascii="Times New Roman" w:eastAsia="Times New Roman" w:hAnsi="Times New Roman" w:cs="Times New Roman"/>
          <w:sz w:val="24"/>
          <w:szCs w:val="24"/>
        </w:rPr>
        <w:t xml:space="preserve">close to </w:t>
      </w:r>
      <w:r>
        <w:rPr>
          <w:rFonts w:ascii="Times New Roman" w:eastAsia="Times New Roman" w:hAnsi="Times New Roman" w:cs="Times New Roman"/>
          <w:sz w:val="24"/>
          <w:szCs w:val="24"/>
        </w:rPr>
        <w:t xml:space="preserve">50%) among children under five years of age, and maternal undernutrition (about a third) </w:t>
      </w:r>
      <w:r>
        <w:rPr>
          <w:rFonts w:ascii="Times New Roman" w:eastAsia="Times New Roman" w:hAnsi="Times New Roman" w:cs="Times New Roman"/>
          <w:sz w:val="24"/>
          <w:szCs w:val="24"/>
          <w:vertAlign w:val="superscript"/>
        </w:rPr>
        <w:t>6</w:t>
      </w:r>
      <w:r>
        <w:rPr>
          <w:rFonts w:ascii="Times New Roman" w:eastAsia="Times New Roman" w:hAnsi="Times New Roman" w:cs="Times New Roman"/>
          <w:sz w:val="24"/>
          <w:szCs w:val="24"/>
        </w:rPr>
        <w:t xml:space="preserve">. There is evidence that majority (close to 90%) of the urban poor depend on purchased food, exacerbating their vulnerability to food insecurity </w:t>
      </w:r>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xml:space="preserve">. </w:t>
      </w:r>
    </w:p>
    <w:p w14:paraId="2945DB11" w14:textId="77777777" w:rsidR="00CC7D76" w:rsidRDefault="00CC7D76">
      <w:pPr>
        <w:spacing w:line="360" w:lineRule="auto"/>
        <w:jc w:val="both"/>
        <w:rPr>
          <w:rFonts w:ascii="Times New Roman" w:eastAsia="Times New Roman" w:hAnsi="Times New Roman" w:cs="Times New Roman"/>
          <w:sz w:val="24"/>
          <w:szCs w:val="24"/>
        </w:rPr>
      </w:pPr>
    </w:p>
    <w:p w14:paraId="77F1E0DB"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living in poverty in urban areas are vulnerable to violations of the right to food. Most obtain food by purchasing it. Gainful employment, which is rare in these settings, is therefore very important. The malfunctioning or total absence of social security programs or other safety nets further undermines the enjoyment of the right to food when people lose the means to provide for themselves. </w:t>
      </w:r>
    </w:p>
    <w:p w14:paraId="154C2EEB" w14:textId="77777777" w:rsidR="00CC7D76" w:rsidRDefault="003547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fact that people living in poverty in urban areas cannot afford food is often linked to social exclusion, e.g., exclusion from education and training opportunities, from access to information, from decision-making in public affairs and from access to justice. This underscores the need for public engagement on the right to food to create awareness regarding recourse hence bridge the gap between lived experiences as evidenced by research and the right to food. </w:t>
      </w:r>
    </w:p>
    <w:p w14:paraId="26B09C81" w14:textId="77777777" w:rsidR="00CC7D76" w:rsidRDefault="003547EE">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Review of literature </w:t>
      </w:r>
    </w:p>
    <w:p w14:paraId="6070BE01" w14:textId="77777777" w:rsidR="00CC7D76" w:rsidRDefault="003547E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Food and Nutrition Security Situation </w:t>
      </w:r>
    </w:p>
    <w:p w14:paraId="60360E98"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Food and Agriculture Organization (FAO) hunger indicator, it is estimated that between the years 2010 and 2012, 870 million people (about 12.5% of global population) were undernourished, with the majority of them in developing countries, 234 million in sub-Saharan Africa </w:t>
      </w:r>
      <w:r>
        <w:rPr>
          <w:rFonts w:ascii="Times New Roman" w:eastAsia="Times New Roman" w:hAnsi="Times New Roman" w:cs="Times New Roman"/>
          <w:sz w:val="24"/>
          <w:szCs w:val="24"/>
          <w:vertAlign w:val="superscript"/>
        </w:rPr>
        <w:t>7</w:t>
      </w:r>
      <w:r>
        <w:rPr>
          <w:rFonts w:ascii="Times New Roman" w:eastAsia="Times New Roman" w:hAnsi="Times New Roman" w:cs="Times New Roman"/>
          <w:sz w:val="24"/>
          <w:szCs w:val="24"/>
        </w:rPr>
        <w:t xml:space="preserve">. The Eastern African region remains one of the regions greatly affected by hunger and food insecurity.  According to the world food and nutrition security report, while 11% and 20% of the world and Africa population is hungry respectively, 33% of Eastern African population is hungry </w:t>
      </w:r>
      <w:r>
        <w:rPr>
          <w:rFonts w:ascii="Times New Roman" w:eastAsia="Times New Roman" w:hAnsi="Times New Roman" w:cs="Times New Roman"/>
          <w:sz w:val="24"/>
          <w:szCs w:val="24"/>
          <w:vertAlign w:val="superscript"/>
        </w:rPr>
        <w:t>4</w:t>
      </w:r>
      <w:r>
        <w:rPr>
          <w:rFonts w:ascii="Times New Roman" w:eastAsia="Times New Roman" w:hAnsi="Times New Roman" w:cs="Times New Roman"/>
          <w:sz w:val="24"/>
          <w:szCs w:val="24"/>
        </w:rPr>
        <w:t xml:space="preserve">. In Kenya, more than 10 million people (almost a third of the Kenyan population) suffer from chronic food insecurity and poor nutrition </w:t>
      </w:r>
      <w:r>
        <w:rPr>
          <w:rFonts w:ascii="Times New Roman" w:eastAsia="Times New Roman" w:hAnsi="Times New Roman" w:cs="Times New Roman"/>
          <w:sz w:val="24"/>
          <w:szCs w:val="24"/>
          <w:vertAlign w:val="superscript"/>
        </w:rPr>
        <w:t>8</w:t>
      </w:r>
      <w:r>
        <w:rPr>
          <w:rFonts w:ascii="Times New Roman" w:eastAsia="Times New Roman" w:hAnsi="Times New Roman" w:cs="Times New Roman"/>
          <w:sz w:val="24"/>
          <w:szCs w:val="24"/>
        </w:rPr>
        <w:t xml:space="preserve">. In Kenya’s urban poor, only one household in five is food secure </w:t>
      </w:r>
      <w:r>
        <w:rPr>
          <w:rFonts w:ascii="Times New Roman" w:eastAsia="Times New Roman" w:hAnsi="Times New Roman" w:cs="Times New Roman"/>
          <w:sz w:val="24"/>
          <w:szCs w:val="24"/>
          <w:vertAlign w:val="superscript"/>
        </w:rPr>
        <w:t>5,9</w:t>
      </w:r>
      <w:r>
        <w:rPr>
          <w:rFonts w:ascii="Times New Roman" w:eastAsia="Times New Roman" w:hAnsi="Times New Roman" w:cs="Times New Roman"/>
          <w:sz w:val="24"/>
          <w:szCs w:val="24"/>
        </w:rPr>
        <w:t xml:space="preserve">; which means that only a small percentage of the population have physical and economic access to sufficient, safe and nutritious food to meet their dietary needs and food preferences for an active and healthy life. This has led to negative coping strategies being widely used to address food insecurity, including reducing the number of meals, reducing food variety and quality, scavenging, and eating street foods </w:t>
      </w:r>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xml:space="preserve">. Food security is closely linked to nutritional status and this explains why in East Africa, under-nutrition is a major problem with close to 50% of young children being stunted </w:t>
      </w:r>
      <w:r>
        <w:rPr>
          <w:rFonts w:ascii="Times New Roman" w:eastAsia="Times New Roman" w:hAnsi="Times New Roman" w:cs="Times New Roman"/>
          <w:sz w:val="24"/>
          <w:szCs w:val="24"/>
          <w:vertAlign w:val="superscript"/>
        </w:rPr>
        <w:t>10</w:t>
      </w:r>
      <w:r>
        <w:rPr>
          <w:rFonts w:ascii="Times New Roman" w:eastAsia="Times New Roman" w:hAnsi="Times New Roman" w:cs="Times New Roman"/>
          <w:sz w:val="24"/>
          <w:szCs w:val="24"/>
        </w:rPr>
        <w:t xml:space="preserve">. In Kenya, 26% of children under five years have stunted growth, 11% are underweight and 4% are wasted according to the 2014 Kenya Demographic and Health Survey (KDHS). This is an improvement from 2008 when stunting was at 35%, underweight at 16% and wasting at 7% </w:t>
      </w:r>
      <w:r>
        <w:rPr>
          <w:rFonts w:ascii="Times New Roman" w:eastAsia="Times New Roman" w:hAnsi="Times New Roman" w:cs="Times New Roman"/>
          <w:sz w:val="24"/>
          <w:szCs w:val="24"/>
          <w:vertAlign w:val="superscript"/>
        </w:rPr>
        <w:t>11</w:t>
      </w:r>
      <w:r>
        <w:rPr>
          <w:rFonts w:ascii="Times New Roman" w:eastAsia="Times New Roman" w:hAnsi="Times New Roman" w:cs="Times New Roman"/>
          <w:sz w:val="24"/>
          <w:szCs w:val="24"/>
        </w:rPr>
        <w:t xml:space="preserve">. In the urban informal settlements, levels of stunting have remained persistently high, higher than national levels according to studies carried out from 2008 to 2015, but levels for underweight and wasting are comparable to the national levels. Examples are: Kibera where rates for stunting, underweight and wasting are 47%, 11.8% and 2.6 %, </w:t>
      </w:r>
      <w:r>
        <w:rPr>
          <w:rFonts w:ascii="Times New Roman" w:eastAsia="Times New Roman" w:hAnsi="Times New Roman" w:cs="Times New Roman"/>
          <w:sz w:val="24"/>
          <w:szCs w:val="24"/>
          <w:vertAlign w:val="superscript"/>
        </w:rPr>
        <w:t>12</w:t>
      </w:r>
      <w:r>
        <w:rPr>
          <w:rFonts w:ascii="Times New Roman" w:eastAsia="Times New Roman" w:hAnsi="Times New Roman" w:cs="Times New Roman"/>
          <w:sz w:val="24"/>
          <w:szCs w:val="24"/>
        </w:rPr>
        <w:t xml:space="preserve"> and Korogocho and Viwandani, where rates are 46%, 11% and 2.5% </w:t>
      </w:r>
      <w:r>
        <w:rPr>
          <w:rFonts w:ascii="Times New Roman" w:eastAsia="Times New Roman" w:hAnsi="Times New Roman" w:cs="Times New Roman"/>
          <w:sz w:val="24"/>
          <w:szCs w:val="24"/>
          <w:vertAlign w:val="superscript"/>
        </w:rPr>
        <w:t>6</w:t>
      </w:r>
      <w:r>
        <w:rPr>
          <w:rFonts w:ascii="Times New Roman" w:eastAsia="Times New Roman" w:hAnsi="Times New Roman" w:cs="Times New Roman"/>
          <w:sz w:val="24"/>
          <w:szCs w:val="24"/>
        </w:rPr>
        <w:t xml:space="preserve">. Further research indicates limitations of women exercising the right to breastfeed their children due to complex social and economic barriers in urban poor settings, with only two percent exclusively breastfed for the first six months according to the recommendations by the World Health Organization </w:t>
      </w:r>
      <w:r>
        <w:rPr>
          <w:rFonts w:ascii="Times New Roman" w:eastAsia="Times New Roman" w:hAnsi="Times New Roman" w:cs="Times New Roman"/>
          <w:sz w:val="24"/>
          <w:szCs w:val="24"/>
          <w:vertAlign w:val="superscript"/>
        </w:rPr>
        <w:t>13–15</w:t>
      </w:r>
      <w:r>
        <w:rPr>
          <w:rFonts w:ascii="Times New Roman" w:eastAsia="Times New Roman" w:hAnsi="Times New Roman" w:cs="Times New Roman"/>
          <w:sz w:val="24"/>
          <w:szCs w:val="24"/>
        </w:rPr>
        <w:t xml:space="preserve"> . </w:t>
      </w:r>
    </w:p>
    <w:p w14:paraId="14DABC15" w14:textId="77777777" w:rsidR="00CC7D76" w:rsidRDefault="003547EE">
      <w:pPr>
        <w:pStyle w:val="Heading1"/>
        <w:tabs>
          <w:tab w:val="left" w:pos="7905"/>
        </w:tab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Food basket</w:t>
      </w:r>
    </w:p>
    <w:p w14:paraId="266E2375" w14:textId="77777777" w:rsidR="00CC7D76" w:rsidRDefault="003547EE">
      <w:pPr>
        <w:pStyle w:val="Heading2"/>
        <w:shd w:val="clear" w:color="auto" w:fill="FFFFFF"/>
        <w:spacing w:before="75" w:after="15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Foods in the Kenyan basic food basket include maize, beans, sugar, milk, cooking oil, and vegetables (kales/spinach/cabbage (vegetables). Cost of food in Kenya increased by 4% in February of 2018 over the same month in the previous year. Food Inflation in Kenya averaged 11% from 2010 until 2018, reaching an all-time high of 26% in October of 2011 and a record low of 1.44 percent in October of 2012 </w:t>
      </w:r>
      <w:r>
        <w:rPr>
          <w:rFonts w:ascii="Times New Roman" w:eastAsia="Times New Roman" w:hAnsi="Times New Roman" w:cs="Times New Roman"/>
          <w:color w:val="000000"/>
          <w:sz w:val="24"/>
          <w:szCs w:val="24"/>
          <w:vertAlign w:val="superscript"/>
        </w:rPr>
        <w:t>16</w:t>
      </w:r>
      <w:r>
        <w:rPr>
          <w:rFonts w:ascii="Times New Roman" w:eastAsia="Times New Roman" w:hAnsi="Times New Roman" w:cs="Times New Roman"/>
          <w:color w:val="000000"/>
          <w:sz w:val="24"/>
          <w:szCs w:val="24"/>
        </w:rPr>
        <w:t>.</w:t>
      </w:r>
    </w:p>
    <w:p w14:paraId="6A531153" w14:textId="77777777" w:rsidR="00CC7D76" w:rsidRDefault="003547EE">
      <w:pPr>
        <w:pStyle w:val="Heading1"/>
        <w:tabs>
          <w:tab w:val="left" w:pos="7905"/>
        </w:tab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Right to Food </w:t>
      </w:r>
    </w:p>
    <w:p w14:paraId="0FCC847B" w14:textId="77777777" w:rsidR="00CC7D76" w:rsidRDefault="003547EE">
      <w:pPr>
        <w:spacing w:before="180"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right to food was first recognized as part of the right to an adequate standard of living  in Article 25(1) of the 1948 Universal Declaration of Human Rights (UDHR) </w:t>
      </w:r>
      <w:r>
        <w:rPr>
          <w:rFonts w:ascii="Times New Roman" w:eastAsia="Times New Roman" w:hAnsi="Times New Roman" w:cs="Times New Roman"/>
          <w:sz w:val="24"/>
          <w:szCs w:val="24"/>
          <w:vertAlign w:val="superscript"/>
        </w:rPr>
        <w:t>17</w:t>
      </w:r>
      <w:r>
        <w:rPr>
          <w:rFonts w:ascii="Times New Roman" w:eastAsia="Times New Roman" w:hAnsi="Times New Roman" w:cs="Times New Roman"/>
          <w:sz w:val="24"/>
          <w:szCs w:val="24"/>
        </w:rPr>
        <w:t>. The article states that:</w:t>
      </w:r>
    </w:p>
    <w:p w14:paraId="340328AB" w14:textId="77777777" w:rsidR="00CC7D76" w:rsidRDefault="003547EE">
      <w:pPr>
        <w:spacing w:before="180" w:after="180" w:line="360" w:lineRule="auto"/>
        <w:ind w:left="720" w:firstLine="4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“Everyone has the right to a standard of living adequate for the health and wellbeing of himself and of his family, including food, clothing, and housing and medical care and necessary social services, and the right to security in the event of unemployment, sickness, disability, widowhood, old age or other lack of livelihood in circumstances beyond his control.”</w:t>
      </w:r>
    </w:p>
    <w:p w14:paraId="783BF49F" w14:textId="77777777" w:rsidR="00CC7D76" w:rsidRDefault="003547EE">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Subsequently, the right to food was included in Article 11 of the International Covenant on Economic, Social and Cultural Rights (ICESCR). ICESR was the first legally binding instrument to comprehensively deal with the right to food </w:t>
      </w:r>
      <w:r>
        <w:rPr>
          <w:rFonts w:ascii="Times New Roman" w:eastAsia="Times New Roman" w:hAnsi="Times New Roman" w:cs="Times New Roman"/>
          <w:sz w:val="24"/>
          <w:szCs w:val="24"/>
          <w:vertAlign w:val="superscript"/>
        </w:rPr>
        <w:t>18</w:t>
      </w:r>
      <w:r>
        <w:rPr>
          <w:rFonts w:ascii="Times New Roman" w:eastAsia="Times New Roman" w:hAnsi="Times New Roman" w:cs="Times New Roman"/>
          <w:sz w:val="24"/>
          <w:szCs w:val="24"/>
        </w:rPr>
        <w:t xml:space="preserve">.  Two essential components of the right to food are identified in article 11 of ICESCR: the right to adequate food and the fundamental right to be free from hunger. Provisions on the right to food are contained in several other international treaties including the Convention on Elimination of All Forms of Discrimination against Women (CEDAW) </w:t>
      </w:r>
      <w:r>
        <w:rPr>
          <w:rFonts w:ascii="Times New Roman" w:eastAsia="Times New Roman" w:hAnsi="Times New Roman" w:cs="Times New Roman"/>
          <w:sz w:val="24"/>
          <w:szCs w:val="24"/>
          <w:vertAlign w:val="superscript"/>
        </w:rPr>
        <w:t>19</w:t>
      </w:r>
      <w:r>
        <w:rPr>
          <w:rFonts w:ascii="Times New Roman" w:eastAsia="Times New Roman" w:hAnsi="Times New Roman" w:cs="Times New Roman"/>
          <w:sz w:val="24"/>
          <w:szCs w:val="24"/>
        </w:rPr>
        <w:t xml:space="preserve">, the Convention on the Rights of the Child (CRC) </w:t>
      </w:r>
      <w:r>
        <w:rPr>
          <w:rFonts w:ascii="Times New Roman" w:eastAsia="Times New Roman" w:hAnsi="Times New Roman" w:cs="Times New Roman"/>
          <w:sz w:val="24"/>
          <w:szCs w:val="24"/>
          <w:vertAlign w:val="superscript"/>
        </w:rPr>
        <w:t>20</w:t>
      </w:r>
      <w:r>
        <w:rPr>
          <w:rFonts w:ascii="Times New Roman" w:eastAsia="Times New Roman" w:hAnsi="Times New Roman" w:cs="Times New Roman"/>
          <w:sz w:val="24"/>
          <w:szCs w:val="24"/>
        </w:rPr>
        <w:t xml:space="preserve">, and the Convention on the Rights of Persons with Disabilities </w:t>
      </w:r>
      <w:r>
        <w:rPr>
          <w:rFonts w:ascii="Times New Roman" w:eastAsia="Times New Roman" w:hAnsi="Times New Roman" w:cs="Times New Roman"/>
          <w:sz w:val="24"/>
          <w:szCs w:val="24"/>
          <w:vertAlign w:val="superscript"/>
        </w:rPr>
        <w:t>21</w:t>
      </w:r>
      <w:r>
        <w:rPr>
          <w:rFonts w:ascii="Times New Roman" w:eastAsia="Times New Roman" w:hAnsi="Times New Roman" w:cs="Times New Roman"/>
          <w:sz w:val="24"/>
          <w:szCs w:val="24"/>
        </w:rPr>
        <w:t xml:space="preserve">. Article 12 of CEDAW deals with adequate nutrition during pregnancy and lactation; while Article 14 protects women’s access to land, income, credit and social security programs. Article 27 of the CRC recognizes the right to an adequate standard of living for children, while Article 24 on the right to health, calls for provision of nutritious food and safe drinking water to combat disease and malnutrition. Article 25 of the Convention on the Rights of Persons with Disabilities recognizes the right to food in the context of the right to health, while Article 28 recognizes this right in the context of the right to an adequate standard of living and social protection. </w:t>
      </w:r>
    </w:p>
    <w:p w14:paraId="2F24630F" w14:textId="77777777" w:rsidR="00CC7D76" w:rsidRDefault="00CC7D76">
      <w:pPr>
        <w:spacing w:after="0" w:line="360" w:lineRule="auto"/>
        <w:jc w:val="both"/>
        <w:rPr>
          <w:rFonts w:ascii="Times New Roman" w:eastAsia="Times New Roman" w:hAnsi="Times New Roman" w:cs="Times New Roman"/>
          <w:sz w:val="24"/>
          <w:szCs w:val="24"/>
        </w:rPr>
      </w:pPr>
    </w:p>
    <w:p w14:paraId="21F9147D" w14:textId="77777777"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three main elements of the right to food are: availability, adequacy, and accessibility of food </w:t>
      </w:r>
      <w:r>
        <w:rPr>
          <w:rFonts w:ascii="Times New Roman" w:eastAsia="Times New Roman" w:hAnsi="Times New Roman" w:cs="Times New Roman"/>
          <w:sz w:val="24"/>
          <w:szCs w:val="24"/>
          <w:vertAlign w:val="superscript"/>
        </w:rPr>
        <w:t>18,22</w:t>
      </w:r>
      <w:r>
        <w:rPr>
          <w:rFonts w:ascii="Times New Roman" w:eastAsia="Times New Roman" w:hAnsi="Times New Roman" w:cs="Times New Roman"/>
          <w:sz w:val="24"/>
          <w:szCs w:val="24"/>
        </w:rPr>
        <w:t>.</w:t>
      </w:r>
    </w:p>
    <w:p w14:paraId="6B93B14F" w14:textId="77777777" w:rsidR="00CC7D76" w:rsidRDefault="003547EE">
      <w:pPr>
        <w:numPr>
          <w:ilvl w:val="0"/>
          <w:numId w:val="5"/>
        </w:numPr>
        <w:spacing w:after="0" w:line="360" w:lineRule="auto"/>
        <w:ind w:left="480"/>
        <w:jc w:val="both"/>
      </w:pPr>
      <w:r>
        <w:rPr>
          <w:rFonts w:ascii="Times New Roman" w:eastAsia="Times New Roman" w:hAnsi="Times New Roman" w:cs="Times New Roman"/>
          <w:sz w:val="24"/>
          <w:szCs w:val="24"/>
        </w:rPr>
        <w:t xml:space="preserve">Availability refers to enough food being produced for both the present and the future generations, therefore entailing the notions of sustainability, or long-term availability, and the protection of the environment. It refers to the possibilities of people feeding themselves directly from productive land or other natural resources, or through purchased food from the market, therefore presuming well-functioning food systems for distribution, processing and marketing. </w:t>
      </w:r>
    </w:p>
    <w:p w14:paraId="1C0622DB" w14:textId="77777777" w:rsidR="00CC7D76" w:rsidRDefault="003547EE">
      <w:pPr>
        <w:numPr>
          <w:ilvl w:val="0"/>
          <w:numId w:val="5"/>
        </w:numPr>
        <w:spacing w:after="0" w:line="360" w:lineRule="auto"/>
        <w:ind w:left="480"/>
        <w:jc w:val="both"/>
      </w:pPr>
      <w:r>
        <w:rPr>
          <w:rFonts w:ascii="Times New Roman" w:eastAsia="Times New Roman" w:hAnsi="Times New Roman" w:cs="Times New Roman"/>
          <w:sz w:val="24"/>
          <w:szCs w:val="24"/>
        </w:rPr>
        <w:t xml:space="preserve">Adequacy refers to the dietary needs of an individual which must be fulfilled not only in terms of quantity but also in terms of nutritious quality and food safety of the accessible food. It also includes the importance of taking into account non-nutrient-values attached to food, be they cultural ones or consumer concerns. It therefore also includes elements of cultural or consumer acceptability. </w:t>
      </w:r>
    </w:p>
    <w:p w14:paraId="3273E87A" w14:textId="77777777" w:rsidR="00CC7D76" w:rsidRDefault="003547EE">
      <w:pPr>
        <w:numPr>
          <w:ilvl w:val="0"/>
          <w:numId w:val="5"/>
        </w:numPr>
        <w:spacing w:after="0" w:line="360" w:lineRule="auto"/>
        <w:ind w:left="480"/>
        <w:jc w:val="both"/>
      </w:pPr>
      <w:r>
        <w:rPr>
          <w:rFonts w:ascii="Times New Roman" w:eastAsia="Times New Roman" w:hAnsi="Times New Roman" w:cs="Times New Roman"/>
          <w:sz w:val="24"/>
          <w:szCs w:val="24"/>
        </w:rPr>
        <w:t xml:space="preserve">Accessibility (economic) implies that the financial costs incurred for the acquisition of food for an adequate diet does not threaten or endanger the realization of other basic needs (e.g. housing, health, education). Physical accessibility implies that everyone, including physically vulnerable individuals, such as infants and young children, elderly people, the physically disabled, the terminally ill, and persons with persistent medical problems, including the mentally ill, should be ensured access to adequate food. Food must be accessible for both present and future generations i.e. sustainability of accessibility. </w:t>
      </w:r>
    </w:p>
    <w:p w14:paraId="23AA5DA6" w14:textId="77777777" w:rsidR="00CC7D76" w:rsidRDefault="00CC7D76">
      <w:pPr>
        <w:rPr>
          <w:rFonts w:ascii="Times New Roman" w:eastAsia="Times New Roman" w:hAnsi="Times New Roman" w:cs="Times New Roman"/>
          <w:sz w:val="24"/>
          <w:szCs w:val="24"/>
        </w:rPr>
      </w:pPr>
    </w:p>
    <w:p w14:paraId="59D76E2A" w14:textId="443200DF"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right to food places legal obligations on States to overcome hunger and malnutrition and realize food security for all. For the human right to food approach to be realized so as to reduce malnutrition especially among the urban poor, particular focus on vulnerable groups is required. As a concept, therefore, the right to food approach demands a detailed understanding of the impacts of political and economic measures on different groups especially the vulnerable and their ongoing access their food basket in a dignified manner. For the realization of the right to food and bridge the gap between the legal provisions and the lived experiences as evidenced by research, there is need for awareness creation on this concept, particularly as is provided for in the legal framework. This is the purpose of the proposed public engagement project. </w:t>
      </w:r>
      <w:r w:rsidR="009204DE">
        <w:rPr>
          <w:rFonts w:ascii="Times New Roman" w:eastAsia="Times New Roman" w:hAnsi="Times New Roman" w:cs="Times New Roman"/>
          <w:sz w:val="24"/>
          <w:szCs w:val="24"/>
        </w:rPr>
        <w:t>The public engagement, through creative participatory approaches, will stimulate dialogue and deepen the understanding of the concept of the right to food, and of how those most affected can help to shape solutions to food security problems, thereby demystifying research and science, and health concepts. The public engagement is directed at community members in urban poor settings in Nairobi, to enhance their awareness hence enhance their agency and hence ability to shape solutions to their problems; and at change agents including policy makers and law makers, with an ultimate goal of actualization of the right to food for vulnerable populations like the urban poor in Kenya.</w:t>
      </w:r>
    </w:p>
    <w:p w14:paraId="38AA1853" w14:textId="77777777" w:rsidR="00CC7D76" w:rsidRDefault="003547EE">
      <w:pPr>
        <w:pStyle w:val="Heading1"/>
        <w:tabs>
          <w:tab w:val="left" w:pos="7905"/>
        </w:tab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Main Objective </w:t>
      </w:r>
    </w:p>
    <w:p w14:paraId="4EEECC01" w14:textId="5047456E" w:rsidR="009204DE" w:rsidRPr="009204DE" w:rsidRDefault="009204DE" w:rsidP="002048F5">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9204DE">
        <w:rPr>
          <w:rFonts w:ascii="Times New Roman" w:eastAsia="Times New Roman" w:hAnsi="Times New Roman" w:cs="Times New Roman"/>
          <w:sz w:val="24"/>
          <w:szCs w:val="24"/>
        </w:rPr>
        <w:t xml:space="preserve">The objective of the study is to stimulate dialogue and deepen the understanding of the concept of the right to food in ways that enable actualization of the right to food for </w:t>
      </w:r>
      <w:r>
        <w:rPr>
          <w:rFonts w:ascii="Times New Roman" w:eastAsia="Times New Roman" w:hAnsi="Times New Roman" w:cs="Times New Roman"/>
          <w:sz w:val="24"/>
          <w:szCs w:val="24"/>
        </w:rPr>
        <w:t>the urban poor in Nairobi.</w:t>
      </w:r>
    </w:p>
    <w:p w14:paraId="7D1201D2" w14:textId="36DCC7EE" w:rsidR="009204DE" w:rsidRPr="009204DE" w:rsidRDefault="009204DE" w:rsidP="009204DE"/>
    <w:p w14:paraId="70740489" w14:textId="72555FC0" w:rsidR="00CC7D76" w:rsidRDefault="003547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2DDEFA8D"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 objectives</w:t>
      </w:r>
    </w:p>
    <w:p w14:paraId="5E3EB396" w14:textId="77777777" w:rsidR="00CC7D76" w:rsidRDefault="00CC7D76">
      <w:pPr>
        <w:rPr>
          <w:rFonts w:ascii="Times New Roman" w:eastAsia="Times New Roman" w:hAnsi="Times New Roman" w:cs="Times New Roman"/>
          <w:sz w:val="24"/>
          <w:szCs w:val="24"/>
        </w:rPr>
      </w:pPr>
    </w:p>
    <w:p w14:paraId="267C5C75" w14:textId="77777777" w:rsidR="00CC7D76" w:rsidRDefault="003547EE">
      <w:pPr>
        <w:numPr>
          <w:ilvl w:val="0"/>
          <w:numId w:val="4"/>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stimulate dialogue on the right to food vis a vis lived experiences as evidenced by research among community members and change agents including policy makers and law makers. </w:t>
      </w:r>
    </w:p>
    <w:p w14:paraId="0BF3BB9D" w14:textId="77777777" w:rsidR="00CC7D76" w:rsidRDefault="003547EE">
      <w:pPr>
        <w:numPr>
          <w:ilvl w:val="0"/>
          <w:numId w:val="4"/>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enhance agency and build capacity of community members to communicate their experiences in ways most relevant to them, thereby enhancing their ability to shape solutions to food insecurity problems affecting them. </w:t>
      </w:r>
    </w:p>
    <w:p w14:paraId="34C271C0" w14:textId="77777777" w:rsidR="00DA1521" w:rsidRPr="002048F5" w:rsidRDefault="003547EE">
      <w:pPr>
        <w:numPr>
          <w:ilvl w:val="0"/>
          <w:numId w:val="4"/>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171717"/>
          <w:sz w:val="24"/>
          <w:szCs w:val="24"/>
        </w:rPr>
        <w:t>To explore solutions to food insecurity problems for the urban poor in Kenya and draw lessons from other countries that have made strides in actualizing the right to food towards its actualization in Kenya</w:t>
      </w:r>
      <w:r w:rsidR="002B3CD9">
        <w:rPr>
          <w:rFonts w:ascii="Times New Roman" w:eastAsia="Times New Roman" w:hAnsi="Times New Roman" w:cs="Times New Roman"/>
          <w:color w:val="171717"/>
          <w:sz w:val="24"/>
          <w:szCs w:val="24"/>
        </w:rPr>
        <w:t xml:space="preserve"> through literature review and a case study</w:t>
      </w:r>
      <w:r>
        <w:rPr>
          <w:rFonts w:ascii="Times New Roman" w:eastAsia="Times New Roman" w:hAnsi="Times New Roman" w:cs="Times New Roman"/>
          <w:color w:val="171717"/>
          <w:sz w:val="24"/>
          <w:szCs w:val="24"/>
        </w:rPr>
        <w:t>.</w:t>
      </w:r>
    </w:p>
    <w:p w14:paraId="0526B0A2" w14:textId="593F7064" w:rsidR="00CC7D76" w:rsidRPr="00DA1521" w:rsidRDefault="00DA1521" w:rsidP="00DA1521">
      <w:pPr>
        <w:spacing w:line="360" w:lineRule="auto"/>
        <w:jc w:val="both"/>
        <w:rPr>
          <w:rFonts w:ascii="Times New Roman" w:eastAsia="Times New Roman" w:hAnsi="Times New Roman" w:cs="Times New Roman"/>
          <w:sz w:val="24"/>
          <w:szCs w:val="24"/>
        </w:rPr>
      </w:pPr>
      <w:r w:rsidRPr="00DA1521">
        <w:rPr>
          <w:rFonts w:ascii="Times New Roman" w:eastAsia="Times New Roman" w:hAnsi="Times New Roman" w:cs="Times New Roman"/>
          <w:color w:val="171717"/>
          <w:sz w:val="24"/>
          <w:szCs w:val="24"/>
        </w:rPr>
        <w:t>To co-develop a visual informed consent form with the comm</w:t>
      </w:r>
      <w:r>
        <w:rPr>
          <w:rFonts w:ascii="Times New Roman" w:eastAsia="Times New Roman" w:hAnsi="Times New Roman" w:cs="Times New Roman"/>
          <w:color w:val="171717"/>
          <w:sz w:val="24"/>
          <w:szCs w:val="24"/>
        </w:rPr>
        <w:t xml:space="preserve">unity members a tool for future use in similar studies in future. </w:t>
      </w:r>
    </w:p>
    <w:p w14:paraId="3852DA4B" w14:textId="77777777" w:rsidR="00CC7D76" w:rsidRDefault="003547EE">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Conceptual framework and operationalization </w:t>
      </w:r>
    </w:p>
    <w:p w14:paraId="5D8D45DD"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p w14:paraId="0FBE083A"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Hypotheses and research questions</w:t>
      </w:r>
    </w:p>
    <w:p w14:paraId="084E63DA"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hypothesis– This is a public engagement activity rather than traditional research. </w:t>
      </w:r>
    </w:p>
    <w:p w14:paraId="42596050"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Public engagement will seek to answer the questions below;</w:t>
      </w:r>
    </w:p>
    <w:p w14:paraId="79D0A6CA" w14:textId="77777777" w:rsidR="00CC7D76" w:rsidRDefault="003547EE">
      <w:pPr>
        <w:numPr>
          <w:ilvl w:val="0"/>
          <w:numId w:val="2"/>
        </w:numPr>
        <w:shd w:val="clear" w:color="auto" w:fill="FFFFFF"/>
        <w:spacing w:before="280" w:after="0" w:line="360" w:lineRule="auto"/>
        <w:jc w:val="both"/>
        <w:rPr>
          <w:rFonts w:ascii="Times New Roman" w:eastAsia="Times New Roman" w:hAnsi="Times New Roman" w:cs="Times New Roman"/>
          <w:color w:val="171717"/>
        </w:rPr>
      </w:pPr>
      <w:r>
        <w:rPr>
          <w:rFonts w:ascii="Times New Roman" w:eastAsia="Times New Roman" w:hAnsi="Times New Roman" w:cs="Times New Roman"/>
          <w:color w:val="171717"/>
          <w:sz w:val="24"/>
          <w:szCs w:val="24"/>
        </w:rPr>
        <w:t xml:space="preserve">What is the understanding of the right to food by different categories of people (lay people, policy makers, law makers) as stipulated in the Bill of Rights in the Kenyan constitution 2010? </w:t>
      </w:r>
    </w:p>
    <w:p w14:paraId="549B8965" w14:textId="77777777" w:rsidR="00CC7D76" w:rsidRDefault="003547EE">
      <w:pPr>
        <w:numPr>
          <w:ilvl w:val="0"/>
          <w:numId w:val="2"/>
        </w:numPr>
        <w:shd w:val="clear" w:color="auto" w:fill="FFFFFF"/>
        <w:spacing w:after="0" w:line="360" w:lineRule="auto"/>
        <w:jc w:val="both"/>
        <w:rPr>
          <w:rFonts w:ascii="Times New Roman" w:eastAsia="Times New Roman" w:hAnsi="Times New Roman" w:cs="Times New Roman"/>
          <w:color w:val="171717"/>
        </w:rPr>
      </w:pPr>
      <w:r>
        <w:rPr>
          <w:rFonts w:ascii="Times New Roman" w:eastAsia="Times New Roman" w:hAnsi="Times New Roman" w:cs="Times New Roman"/>
          <w:color w:val="171717"/>
          <w:sz w:val="24"/>
          <w:szCs w:val="24"/>
        </w:rPr>
        <w:t xml:space="preserve">What are the experiences of community members in urban poor settings with the issue of food and nutrition security through their lens?   </w:t>
      </w:r>
    </w:p>
    <w:p w14:paraId="6DF2C4D3" w14:textId="77777777" w:rsidR="00CC7D76" w:rsidRDefault="003547EE">
      <w:pPr>
        <w:numPr>
          <w:ilvl w:val="0"/>
          <w:numId w:val="2"/>
        </w:numPr>
        <w:shd w:val="clear" w:color="auto" w:fill="FFFFFF"/>
        <w:spacing w:after="0" w:line="360" w:lineRule="auto"/>
        <w:jc w:val="both"/>
        <w:rPr>
          <w:rFonts w:ascii="Times New Roman" w:eastAsia="Times New Roman" w:hAnsi="Times New Roman" w:cs="Times New Roman"/>
          <w:color w:val="171717"/>
        </w:rPr>
      </w:pPr>
      <w:r>
        <w:rPr>
          <w:rFonts w:ascii="Times New Roman" w:eastAsia="Times New Roman" w:hAnsi="Times New Roman" w:cs="Times New Roman"/>
          <w:color w:val="171717"/>
          <w:sz w:val="24"/>
          <w:szCs w:val="24"/>
        </w:rPr>
        <w:t xml:space="preserve">To what extent is the right to food actualized in Kenya, particularly for the urban poor? </w:t>
      </w:r>
    </w:p>
    <w:p w14:paraId="1575CA64" w14:textId="77777777" w:rsidR="00CC7D76" w:rsidRDefault="003547EE">
      <w:pPr>
        <w:numPr>
          <w:ilvl w:val="0"/>
          <w:numId w:val="2"/>
        </w:numPr>
        <w:shd w:val="clear" w:color="auto" w:fill="FFFFFF"/>
        <w:spacing w:after="280" w:line="360" w:lineRule="auto"/>
        <w:jc w:val="both"/>
        <w:rPr>
          <w:rFonts w:ascii="Times New Roman" w:eastAsia="Times New Roman" w:hAnsi="Times New Roman" w:cs="Times New Roman"/>
          <w:color w:val="171717"/>
        </w:rPr>
      </w:pPr>
      <w:r>
        <w:rPr>
          <w:rFonts w:ascii="Times New Roman" w:eastAsia="Times New Roman" w:hAnsi="Times New Roman" w:cs="Times New Roman"/>
          <w:color w:val="171717"/>
          <w:sz w:val="24"/>
          <w:szCs w:val="24"/>
        </w:rPr>
        <w:t>How can the right to food be actualized in Kenya, particularly for the urban poor? What lessons can be borrowed from other countries?</w:t>
      </w:r>
    </w:p>
    <w:p w14:paraId="62E21BFE"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Target settings</w:t>
      </w:r>
    </w:p>
    <w:p w14:paraId="1758CBEC" w14:textId="77777777" w:rsidR="00CC7D76" w:rsidRDefault="003547EE">
      <w:pPr>
        <w:shd w:val="clear" w:color="auto" w:fill="FFFFFF"/>
        <w:spacing w:before="280" w:after="280" w:line="360" w:lineRule="auto"/>
        <w:jc w:val="both"/>
        <w:rPr>
          <w:rFonts w:ascii="Times New Roman" w:eastAsia="Times New Roman" w:hAnsi="Times New Roman" w:cs="Times New Roman"/>
          <w:color w:val="171717"/>
          <w:sz w:val="24"/>
          <w:szCs w:val="24"/>
        </w:rPr>
      </w:pPr>
      <w:r>
        <w:rPr>
          <w:rFonts w:ascii="Times New Roman" w:eastAsia="Times New Roman" w:hAnsi="Times New Roman" w:cs="Times New Roman"/>
          <w:color w:val="171717"/>
          <w:sz w:val="24"/>
          <w:szCs w:val="24"/>
        </w:rPr>
        <w:t xml:space="preserve">The project will be undertaken in Nairobi, targeting urban poor settings. </w:t>
      </w:r>
    </w:p>
    <w:p w14:paraId="4493DEBF"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Study Design </w:t>
      </w:r>
    </w:p>
    <w:p w14:paraId="77D52032" w14:textId="77777777" w:rsidR="00CC7D76" w:rsidRDefault="003547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use innovative, public engagement approaches to engage communities and change agents including policy/decision/law makers on the right to food. </w:t>
      </w:r>
    </w:p>
    <w:p w14:paraId="46412410" w14:textId="77777777" w:rsidR="00CC7D76" w:rsidRDefault="003547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Approaches and activities </w:t>
      </w:r>
    </w:p>
    <w:p w14:paraId="4C114411" w14:textId="0EA98ED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propose to undertake the following key activities:</w:t>
      </w:r>
    </w:p>
    <w:p w14:paraId="4D6D1A3D" w14:textId="77777777" w:rsidR="00CC7D76" w:rsidRDefault="003547EE">
      <w:pPr>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Conduct a scoping review of relevant literature</w:t>
      </w:r>
      <w:r>
        <w:rPr>
          <w:rFonts w:ascii="Times New Roman" w:eastAsia="Times New Roman" w:hAnsi="Times New Roman" w:cs="Times New Roman"/>
          <w:color w:val="000000"/>
          <w:sz w:val="24"/>
          <w:szCs w:val="24"/>
        </w:rPr>
        <w:t xml:space="preserve"> on the right to food in low and middle income countries and a case study of countries that have made strides towards actualization of the right to food to document learning. </w:t>
      </w:r>
    </w:p>
    <w:p w14:paraId="6D947CBC" w14:textId="77777777" w:rsidR="00CC7D76" w:rsidRDefault="003547EE">
      <w:pPr>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Come up with an inventory of relevant food security policies and programs</w:t>
      </w:r>
      <w:r>
        <w:rPr>
          <w:rFonts w:ascii="Times New Roman" w:eastAsia="Times New Roman" w:hAnsi="Times New Roman" w:cs="Times New Roman"/>
          <w:color w:val="000000"/>
          <w:sz w:val="24"/>
          <w:szCs w:val="24"/>
        </w:rPr>
        <w:t xml:space="preserve">, including their respective target. This will help to reveal whether the current policy framework targets the underlying and root causes of food insecurity and whether programs exist for the most vulnerable and marginalized individuals. </w:t>
      </w:r>
    </w:p>
    <w:p w14:paraId="74822BAF" w14:textId="77777777" w:rsidR="00CC7D76" w:rsidRDefault="003547EE">
      <w:pPr>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Identify and co-develop innovative public engagement approaches </w:t>
      </w:r>
      <w:r>
        <w:rPr>
          <w:rFonts w:ascii="Times New Roman" w:eastAsia="Times New Roman" w:hAnsi="Times New Roman" w:cs="Times New Roman"/>
          <w:color w:val="000000"/>
          <w:sz w:val="24"/>
          <w:szCs w:val="24"/>
        </w:rPr>
        <w:t>to explore lived experiences with regard to food insecurity and create awareness on the concept of food security and the right to food. This will be done through seed grants to Community Organized Groups (COGs) working in urban poor settings in Nairobi to come up with innovative public engagement ideas. These ideas may include visual participatory engagement methodologies e.g. photovoice, and participatory videos; digital storytelling; art; performing theatre;  music; radio/TV shows; social media; games; skits etc. Determination of the ideas to be developed will be done through a competitive bid. Selected ideas will be co-developed by the COGs and the project team and piloted in communities in urban poor settings. This activity is not only expected to identify and co-develop ideas, but important too is the capacity building of COGs for public engagement through the process.</w:t>
      </w:r>
      <w:r>
        <w:rPr>
          <w:rFonts w:ascii="Times New Roman" w:eastAsia="Times New Roman" w:hAnsi="Times New Roman" w:cs="Times New Roman"/>
          <w:b/>
          <w:color w:val="000000"/>
          <w:sz w:val="24"/>
          <w:szCs w:val="24"/>
        </w:rPr>
        <w:t xml:space="preserve">   </w:t>
      </w:r>
    </w:p>
    <w:p w14:paraId="40D2CE49" w14:textId="3080F97A" w:rsidR="00CC7D76" w:rsidRDefault="003547EE">
      <w:pPr>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Engage communities</w:t>
      </w:r>
      <w:r>
        <w:rPr>
          <w:rFonts w:ascii="Times New Roman" w:eastAsia="Times New Roman" w:hAnsi="Times New Roman" w:cs="Times New Roman"/>
          <w:color w:val="000000"/>
          <w:sz w:val="24"/>
          <w:szCs w:val="24"/>
        </w:rPr>
        <w:t xml:space="preserve"> in urban poor settings in Nairobi to: (i) explore their lived experiences (through their lens) with regards to vulnerability with food insecurity including the fluctuations on the basic food basket; (ii) explore their understanding on the concept of food security and the right to food and enhance their awareness on the same; and, (iii) to document their views on solutions to the problem of food insecurity. This will be done through the innovative ideas co-developed with COGs under activity 3, and other ideas already conceived by the project team such as photovoice, cellphilms and animation. Information will be gathered through qualitative interviews including Focus Group Discussions (FGDs) and Key Informant Interviews (KIIs). Lived experiences will be explored through photovoice, cellphilms and digital storytelling. These innovative participatory methods will empower communities to demonstrate their lived experiences in ways that are most relevant to them. </w:t>
      </w:r>
      <w:r w:rsidR="00DA1521">
        <w:rPr>
          <w:rFonts w:ascii="Times New Roman" w:eastAsia="Times New Roman" w:hAnsi="Times New Roman" w:cs="Times New Roman"/>
          <w:color w:val="000000"/>
          <w:sz w:val="24"/>
          <w:szCs w:val="24"/>
        </w:rPr>
        <w:t xml:space="preserve">Additional engagement will be done to co-develop with community members a visual informed consent form for use in similar studies in future. </w:t>
      </w:r>
    </w:p>
    <w:p w14:paraId="7240AE25" w14:textId="77777777" w:rsidR="00CC7D76" w:rsidRDefault="003547EE">
      <w:pPr>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Equip community resource centers </w:t>
      </w:r>
      <w:r>
        <w:rPr>
          <w:rFonts w:ascii="Times New Roman" w:eastAsia="Times New Roman" w:hAnsi="Times New Roman" w:cs="Times New Roman"/>
          <w:color w:val="000000"/>
          <w:sz w:val="24"/>
          <w:szCs w:val="24"/>
        </w:rPr>
        <w:t>with resource materials on food security and the right to food. We will also use the resource center to display research evidence in palatable way e.g. in the form of factsheets, photo and cellphilms. We will also introduce an innovative idea of a human library</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where experts in food security and on the legal framework of the right to food will be used as human books to engage with community members on the topics of food security and the right to food. Further, the resource centers will be used to stimulate peer dialogues of community members on the issue.  </w:t>
      </w:r>
    </w:p>
    <w:p w14:paraId="3665A34C" w14:textId="77777777" w:rsidR="00CC7D76" w:rsidRDefault="003547EE">
      <w:pPr>
        <w:numPr>
          <w:ilvl w:val="0"/>
          <w:numId w:val="3"/>
        </w:numPr>
        <w:pBdr>
          <w:top w:val="nil"/>
          <w:left w:val="nil"/>
          <w:bottom w:val="nil"/>
          <w:right w:val="nil"/>
          <w:between w:val="nil"/>
        </w:pBdr>
        <w:spacing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Engage policy makers and law makers</w:t>
      </w:r>
      <w:r>
        <w:rPr>
          <w:rFonts w:ascii="Times New Roman" w:eastAsia="Times New Roman" w:hAnsi="Times New Roman" w:cs="Times New Roman"/>
          <w:color w:val="000000"/>
          <w:sz w:val="24"/>
          <w:szCs w:val="24"/>
        </w:rPr>
        <w:t xml:space="preserve"> (i) to enhance their awareness on the research evidence and demonstrated experiences regarding food security of the urban poor (ii) to explore their understanding of the concept of the right to food and how it should be actualized, and share learning on the actualization of the right from other countries; and, (iii) to gain an understanding of the extent to which the policy framework is oriented on the right to food, and the extent of implementation of the right to food as stipulated in the constitution, and what should be done to actualize it.</w:t>
      </w:r>
    </w:p>
    <w:p w14:paraId="74367D23" w14:textId="77777777"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main target audience is the community members (women, men, youth, and community leaders), and policy makers and law-makers (both at national and county level). </w:t>
      </w:r>
    </w:p>
    <w:p w14:paraId="696BA272" w14:textId="77777777" w:rsidR="00CC7D76" w:rsidRDefault="00CC7D76">
      <w:pPr>
        <w:spacing w:after="0" w:line="360" w:lineRule="auto"/>
        <w:jc w:val="both"/>
        <w:rPr>
          <w:rFonts w:ascii="Times New Roman" w:eastAsia="Times New Roman" w:hAnsi="Times New Roman" w:cs="Times New Roman"/>
          <w:sz w:val="24"/>
          <w:szCs w:val="24"/>
        </w:rPr>
      </w:pPr>
    </w:p>
    <w:p w14:paraId="6143DDA2"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Data collection </w:t>
      </w:r>
    </w:p>
    <w:p w14:paraId="039A711D" w14:textId="77777777"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use participatory public engagement methods such as cell-filming and photovoice, among others along with focus group discussions (FGDs), key informant interviews (KIIs) and dialogues. </w:t>
      </w:r>
    </w:p>
    <w:p w14:paraId="56F2102B" w14:textId="77777777" w:rsidR="00CC7D76" w:rsidRDefault="00CC7D76">
      <w:pPr>
        <w:spacing w:after="0" w:line="360" w:lineRule="auto"/>
        <w:jc w:val="both"/>
        <w:rPr>
          <w:rFonts w:ascii="Times New Roman" w:eastAsia="Times New Roman" w:hAnsi="Times New Roman" w:cs="Times New Roman"/>
          <w:sz w:val="24"/>
          <w:szCs w:val="24"/>
        </w:rPr>
      </w:pPr>
    </w:p>
    <w:p w14:paraId="1F632906" w14:textId="77777777" w:rsidR="00CC7D76" w:rsidRDefault="003547EE">
      <w:pPr>
        <w:numPr>
          <w:ilvl w:val="0"/>
          <w:numId w:val="6"/>
        </w:numPr>
        <w:spacing w:after="0" w:line="360" w:lineRule="auto"/>
        <w:ind w:hanging="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FGDs, KIIs </w:t>
      </w:r>
    </w:p>
    <w:p w14:paraId="3A299822" w14:textId="19D97FA3"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Approximately four FGDs, each involving 6-8 people, will be conducted with the community members.  </w:t>
      </w:r>
      <w:r w:rsidR="00DF6A0E">
        <w:rPr>
          <w:rFonts w:ascii="Times New Roman" w:eastAsia="Times New Roman" w:hAnsi="Times New Roman" w:cs="Times New Roman"/>
          <w:sz w:val="24"/>
          <w:szCs w:val="24"/>
        </w:rPr>
        <w:t xml:space="preserve">The FGD participants will be drawn from the community members including community health volunteers, men and women as well as the youth in the community. The members will be selected purposively in order to get a good representation. </w:t>
      </w:r>
      <w:r>
        <w:rPr>
          <w:rFonts w:ascii="Times New Roman" w:eastAsia="Times New Roman" w:hAnsi="Times New Roman" w:cs="Times New Roman"/>
          <w:sz w:val="24"/>
          <w:szCs w:val="24"/>
        </w:rPr>
        <w:t xml:space="preserve">In addition, approximately ten KIIs will also be conducted with different stakeholders including community leaders, healthcare professionals, Community health volunteers and policy makers at national and county levels. Purposive sampling will be used to identify the participants for the FGDs and the KIIs in the community, and policy/law makers at national and county level, using information provided by identified key informants like the local county administration and the chiefs. These interviews will help gauge the level of awareness regarding the right to food. </w:t>
      </w:r>
    </w:p>
    <w:p w14:paraId="68BE18BB" w14:textId="77777777" w:rsidR="00CC7D76" w:rsidRDefault="00CC7D76">
      <w:pPr>
        <w:spacing w:after="0" w:line="360" w:lineRule="auto"/>
        <w:jc w:val="both"/>
        <w:rPr>
          <w:rFonts w:ascii="Times New Roman" w:eastAsia="Times New Roman" w:hAnsi="Times New Roman" w:cs="Times New Roman"/>
          <w:sz w:val="24"/>
          <w:szCs w:val="24"/>
        </w:rPr>
      </w:pPr>
    </w:p>
    <w:p w14:paraId="5FC7A99B" w14:textId="77777777" w:rsidR="00CC7D76" w:rsidRDefault="003547EE">
      <w:pPr>
        <w:numPr>
          <w:ilvl w:val="0"/>
          <w:numId w:val="6"/>
        </w:numPr>
        <w:spacing w:after="0" w:line="360" w:lineRule="auto"/>
        <w:ind w:hanging="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Photovoice </w:t>
      </w:r>
    </w:p>
    <w:p w14:paraId="09C279D3" w14:textId="77777777"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Photovoice is an innovative participatory engagement method of facilitating community participation. The community generates photographic work that captures their lived experiences through their eyes. Since the community is actively involved in the process, there is more ownership and commitment. </w:t>
      </w:r>
    </w:p>
    <w:p w14:paraId="04C85751" w14:textId="77777777" w:rsidR="00CC7D76" w:rsidRDefault="00CC7D76">
      <w:pPr>
        <w:spacing w:after="0" w:line="360" w:lineRule="auto"/>
        <w:jc w:val="both"/>
        <w:rPr>
          <w:rFonts w:ascii="Times New Roman" w:eastAsia="Times New Roman" w:hAnsi="Times New Roman" w:cs="Times New Roman"/>
          <w:sz w:val="24"/>
          <w:szCs w:val="24"/>
        </w:rPr>
      </w:pPr>
    </w:p>
    <w:p w14:paraId="14CA72BB" w14:textId="69C92409"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w:t>
      </w:r>
      <w:r w:rsidRPr="00F53DE6">
        <w:rPr>
          <w:rFonts w:ascii="Times New Roman" w:eastAsia="Times New Roman" w:hAnsi="Times New Roman" w:cs="Times New Roman"/>
          <w:sz w:val="24"/>
          <w:szCs w:val="24"/>
        </w:rPr>
        <w:t>engage various groups in</w:t>
      </w:r>
      <w:r>
        <w:rPr>
          <w:rFonts w:ascii="Times New Roman" w:eastAsia="Times New Roman" w:hAnsi="Times New Roman" w:cs="Times New Roman"/>
          <w:sz w:val="24"/>
          <w:szCs w:val="24"/>
        </w:rPr>
        <w:t xml:space="preserve"> Photovoice </w:t>
      </w:r>
      <w:r w:rsidR="00E30C24">
        <w:rPr>
          <w:rFonts w:ascii="Times New Roman" w:eastAsia="Times New Roman" w:hAnsi="Times New Roman" w:cs="Times New Roman"/>
          <w:sz w:val="24"/>
          <w:szCs w:val="24"/>
        </w:rPr>
        <w:t xml:space="preserve">including women, community health workers, men and youth </w:t>
      </w:r>
      <w:r>
        <w:rPr>
          <w:rFonts w:ascii="Times New Roman" w:eastAsia="Times New Roman" w:hAnsi="Times New Roman" w:cs="Times New Roman"/>
          <w:sz w:val="24"/>
          <w:szCs w:val="24"/>
        </w:rPr>
        <w:t xml:space="preserve">to document their real experiences and those </w:t>
      </w:r>
      <w:r w:rsidR="00F53DE6">
        <w:rPr>
          <w:rFonts w:ascii="Times New Roman" w:eastAsia="Times New Roman" w:hAnsi="Times New Roman" w:cs="Times New Roman"/>
          <w:sz w:val="24"/>
          <w:szCs w:val="24"/>
        </w:rPr>
        <w:t>of children</w:t>
      </w:r>
      <w:r>
        <w:rPr>
          <w:rFonts w:ascii="Times New Roman" w:eastAsia="Times New Roman" w:hAnsi="Times New Roman" w:cs="Times New Roman"/>
          <w:sz w:val="24"/>
          <w:szCs w:val="24"/>
        </w:rPr>
        <w:t xml:space="preserve"> with food and nutrition insecurity in the community. The participants will be trained on use of cameras and the ethics around photo taking. They will then be provided with digital cameras to take photos that visually represent their experiences with food and nutrition insecurity, their struggles in attaining the food basket, for them, their children and their families. Group discussions will then be held with the participants to discuss/ describe the issues represented in the photos taken, the technique SHOWeD</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will be used to guide the discussions which involve the participants identifying what they can see, how it relates to their lives and what can be done to improve the situation in the photo</w:t>
      </w:r>
      <w:r>
        <w:rPr>
          <w:rFonts w:ascii="Times New Roman" w:eastAsia="Times New Roman" w:hAnsi="Times New Roman" w:cs="Times New Roman"/>
          <w:sz w:val="24"/>
          <w:szCs w:val="24"/>
          <w:vertAlign w:val="superscript"/>
        </w:rPr>
        <w:t>25</w:t>
      </w:r>
      <w:r>
        <w:rPr>
          <w:rFonts w:ascii="Times New Roman" w:eastAsia="Times New Roman" w:hAnsi="Times New Roman" w:cs="Times New Roman"/>
          <w:sz w:val="24"/>
          <w:szCs w:val="24"/>
        </w:rPr>
        <w:t>. The photos and accompanying stories will also be used to engage other community members including community leaders in deducing potential ways of improving food and nutrition security for the women and children and community in general.</w:t>
      </w:r>
    </w:p>
    <w:p w14:paraId="35A01B2B" w14:textId="77777777" w:rsidR="00CC7D76" w:rsidRDefault="00CC7D76">
      <w:pPr>
        <w:spacing w:after="0" w:line="360" w:lineRule="auto"/>
        <w:jc w:val="both"/>
        <w:rPr>
          <w:rFonts w:ascii="Times New Roman" w:eastAsia="Times New Roman" w:hAnsi="Times New Roman" w:cs="Times New Roman"/>
          <w:sz w:val="24"/>
          <w:szCs w:val="24"/>
        </w:rPr>
      </w:pPr>
    </w:p>
    <w:p w14:paraId="5A3F130A" w14:textId="77777777" w:rsidR="00CC7D76" w:rsidRDefault="003547EE">
      <w:pPr>
        <w:numPr>
          <w:ilvl w:val="0"/>
          <w:numId w:val="6"/>
        </w:numPr>
        <w:spacing w:after="0" w:line="360" w:lineRule="auto"/>
        <w:ind w:hanging="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Cellphilms</w:t>
      </w:r>
    </w:p>
    <w:p w14:paraId="72AA2D62" w14:textId="638E3418" w:rsidR="00E30C24" w:rsidRDefault="003547EE" w:rsidP="00E30C2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cellphilm is a video taken using a cellphone as a participatory visual method, to represent community-based knowledge and experiences. Community members will take videos using their cellphones to present their knowledge and experiences through their lens. These videos will be used to engage the community  </w:t>
      </w:r>
      <w:r w:rsidR="006C4653">
        <w:rPr>
          <w:rFonts w:ascii="Times New Roman" w:eastAsia="Times New Roman" w:hAnsi="Times New Roman" w:cs="Times New Roman"/>
          <w:sz w:val="24"/>
          <w:szCs w:val="24"/>
        </w:rPr>
        <w:br/>
      </w:r>
    </w:p>
    <w:p w14:paraId="316CFA9C" w14:textId="77777777" w:rsidR="0030282A" w:rsidRDefault="00E30C24" w:rsidP="0030282A">
      <w:pPr>
        <w:numPr>
          <w:ilvl w:val="0"/>
          <w:numId w:val="6"/>
        </w:numPr>
        <w:spacing w:after="0" w:line="360" w:lineRule="auto"/>
        <w:ind w:hanging="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Digital story telling</w:t>
      </w:r>
    </w:p>
    <w:p w14:paraId="6A34C158" w14:textId="3CD70086" w:rsidR="0030282A" w:rsidRPr="0030282A" w:rsidRDefault="0030282A" w:rsidP="0030282A">
      <w:pPr>
        <w:spacing w:after="0" w:line="360" w:lineRule="auto"/>
        <w:jc w:val="both"/>
        <w:rPr>
          <w:rFonts w:ascii="Times New Roman" w:eastAsia="Times New Roman" w:hAnsi="Times New Roman" w:cs="Times New Roman"/>
          <w:b/>
          <w:sz w:val="24"/>
          <w:szCs w:val="24"/>
        </w:rPr>
      </w:pPr>
      <w:r w:rsidRPr="0030282A">
        <w:rPr>
          <w:rFonts w:ascii="Times New Roman" w:eastAsia="Times New Roman" w:hAnsi="Times New Roman" w:cs="Times New Roman"/>
          <w:sz w:val="24"/>
          <w:szCs w:val="24"/>
        </w:rPr>
        <w:t>We will also use digital storytelling which is a short form of digital media production where lay people use digital tools to tell their story in a compelling and emotionally engaging and interactive format. The digital stories will combine still imagery, moving imagery, sound, and text, as well as contain interactive features which will enhance the experience and engagement and interactivity of those creating them as those audiences.</w:t>
      </w:r>
    </w:p>
    <w:p w14:paraId="2EB87E59" w14:textId="77777777" w:rsidR="00CC7D76" w:rsidRDefault="00CC7D76">
      <w:pPr>
        <w:spacing w:after="0" w:line="360" w:lineRule="auto"/>
        <w:jc w:val="both"/>
        <w:rPr>
          <w:rFonts w:ascii="Times New Roman" w:eastAsia="Times New Roman" w:hAnsi="Times New Roman" w:cs="Times New Roman"/>
          <w:b/>
          <w:sz w:val="24"/>
          <w:szCs w:val="24"/>
        </w:rPr>
      </w:pPr>
    </w:p>
    <w:p w14:paraId="76D3EBD4" w14:textId="77777777" w:rsidR="00CC7D76" w:rsidRDefault="003547EE" w:rsidP="009348A9">
      <w:pPr>
        <w:numPr>
          <w:ilvl w:val="0"/>
          <w:numId w:val="6"/>
        </w:numPr>
        <w:spacing w:after="0" w:line="360" w:lineRule="auto"/>
        <w:ind w:hanging="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Dialogues </w:t>
      </w:r>
    </w:p>
    <w:p w14:paraId="3B0B1981" w14:textId="77777777"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use dialogues with community members and community leaders to explore the understanding of the right to food and the lived experiences of community members, and views on how the right can be actualized. </w:t>
      </w:r>
    </w:p>
    <w:p w14:paraId="33DE3C83" w14:textId="77777777"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we will use the productions coming out of the community engagement (photo exhibitions and films) in addition to the data obtained through the discussions to engage the potential change agents including County government and other policy/decision and law makers though two and three-way dialogues (involving the researchers, the community members and the policy/decision/law makers). The purpose of these dialogues will be to enhance their awareness on the experiences of the communities on the right to food and potential solutions as proposed by the community members, and in turn stimulate dialogue on action to improve the actualization of the right to food. Through this forum, the community members will be given an opportunity to voice their experiences and views to policy/ decision/law makers. </w:t>
      </w:r>
    </w:p>
    <w:p w14:paraId="6FC42E7A" w14:textId="77777777" w:rsidR="00CC7D76" w:rsidRDefault="00CC7D76">
      <w:pPr>
        <w:spacing w:after="0" w:line="360" w:lineRule="auto"/>
        <w:jc w:val="both"/>
        <w:rPr>
          <w:rFonts w:ascii="Times New Roman" w:eastAsia="Times New Roman" w:hAnsi="Times New Roman" w:cs="Times New Roman"/>
          <w:sz w:val="24"/>
          <w:szCs w:val="24"/>
        </w:rPr>
      </w:pPr>
    </w:p>
    <w:p w14:paraId="5437E3B3" w14:textId="77777777" w:rsidR="00CC7D76" w:rsidRDefault="003547EE" w:rsidP="009348A9">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Qualitative instruments </w:t>
      </w:r>
    </w:p>
    <w:p w14:paraId="7F271AB9" w14:textId="77777777"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Open ended interview guides for FGDs and KIIs will be used in the engagement. </w:t>
      </w:r>
    </w:p>
    <w:p w14:paraId="1A391D1A" w14:textId="77777777"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FGD and KII guides are shown in Appendix 1. </w:t>
      </w:r>
    </w:p>
    <w:p w14:paraId="4B922633"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Ethical Considerations </w:t>
      </w:r>
    </w:p>
    <w:p w14:paraId="40D045EC" w14:textId="77777777"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seek ethical clearance from a recognized ethical review board in Kenya (in this case the AMREF ESRC) before commencement of the public engagement activities. Informed consent will be obtained from participants before the engagement. Permission for engagement will also be sought from relevant authorities in the community including local authorities to allow entry into the community.  Ethical principles of justice, beneficence, non-maleficence and respect for human dignity will be observed throughout the engagement activities. </w:t>
      </w:r>
    </w:p>
    <w:p w14:paraId="13BF3800" w14:textId="77777777" w:rsidR="00CC7D76" w:rsidRDefault="003547EE">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Data processing and analysis </w:t>
      </w:r>
    </w:p>
    <w:p w14:paraId="29D41FB5" w14:textId="77777777" w:rsidR="00CC7D76" w:rsidRDefault="003547EE">
      <w:pPr>
        <w:numPr>
          <w:ilvl w:val="0"/>
          <w:numId w:val="1"/>
        </w:numPr>
        <w:spacing w:after="0" w:line="360" w:lineRule="auto"/>
        <w:ind w:hanging="360"/>
        <w:contextualSpacing/>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Qualitative data from Photovoice, FGDs, KIIs and community dialogues</w:t>
      </w:r>
    </w:p>
    <w:p w14:paraId="49D13613" w14:textId="40C3665F" w:rsidR="00CC7D76" w:rsidRDefault="006C46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photos collected by the community will be used to initiate discussions on the issues represented in the photos taken. The discussions/audios will be recorded and then transcribed verbatim. Transcribed </w:t>
      </w:r>
      <w:r w:rsidR="009348A9">
        <w:rPr>
          <w:rFonts w:ascii="Times New Roman" w:eastAsia="Times New Roman" w:hAnsi="Times New Roman" w:cs="Times New Roman"/>
          <w:sz w:val="24"/>
          <w:szCs w:val="24"/>
        </w:rPr>
        <w:t>data will</w:t>
      </w:r>
      <w:r w:rsidR="003547EE">
        <w:rPr>
          <w:rFonts w:ascii="Times New Roman" w:eastAsia="Times New Roman" w:hAnsi="Times New Roman" w:cs="Times New Roman"/>
          <w:sz w:val="24"/>
          <w:szCs w:val="24"/>
        </w:rPr>
        <w:t xml:space="preserve"> be saved in MS Word format. Transcripts will be imported into NVIVO software (QSR International Pty Ltd) for coding and further analysis.  The researchers will familiarize themselves with the data by listening to audio tapes and reading through transcribed records. A coding scheme will be developed based on initial reading of the transcripts. This will further be developed/ modified during coding of the data in NVIVO. Primary coding of the transcripts in NVIVO will be undertaken; following this, meta-codes and themes will be identified, with attention to contradiction and diversity. Analysis across all transcripts will be done thematically </w:t>
      </w:r>
      <w:r w:rsidR="003547EE">
        <w:rPr>
          <w:rFonts w:ascii="Times New Roman" w:eastAsia="Times New Roman" w:hAnsi="Times New Roman" w:cs="Times New Roman"/>
          <w:sz w:val="24"/>
          <w:szCs w:val="24"/>
          <w:vertAlign w:val="superscript"/>
        </w:rPr>
        <w:t>26</w:t>
      </w:r>
      <w:r w:rsidR="003547EE">
        <w:rPr>
          <w:rFonts w:ascii="Times New Roman" w:eastAsia="Times New Roman" w:hAnsi="Times New Roman" w:cs="Times New Roman"/>
          <w:sz w:val="24"/>
          <w:szCs w:val="24"/>
        </w:rPr>
        <w:t>.</w:t>
      </w:r>
    </w:p>
    <w:p w14:paraId="30F2E914" w14:textId="4770365F" w:rsidR="00CC7D76" w:rsidRDefault="00CC7D76">
      <w:pPr>
        <w:spacing w:line="360" w:lineRule="auto"/>
        <w:jc w:val="both"/>
        <w:rPr>
          <w:rFonts w:ascii="Times New Roman" w:eastAsia="Times New Roman" w:hAnsi="Times New Roman" w:cs="Times New Roman"/>
          <w:sz w:val="24"/>
          <w:szCs w:val="24"/>
        </w:rPr>
      </w:pPr>
    </w:p>
    <w:p w14:paraId="71E47D81"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Application of findings</w:t>
      </w:r>
    </w:p>
    <w:p w14:paraId="76774E77" w14:textId="36E2A55E" w:rsidR="006C4653" w:rsidRDefault="006C4653" w:rsidP="006C46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will be used to convey messages from the community to the target audiences including the county government officials and policy/decision/law makers at the local and national level. A community level and national level festival involving community members, general public, media and decision/law/policy makers will be organized to share the findings. </w:t>
      </w:r>
    </w:p>
    <w:p w14:paraId="65AFA483" w14:textId="2FEECC3C"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will inform actualization of the right to food for the urban poor as envisaged in the Universal Declaration of Human Rights</w:t>
      </w:r>
      <w:r w:rsidR="007E1AC9">
        <w:rPr>
          <w:rFonts w:ascii="Times New Roman" w:eastAsia="Times New Roman" w:hAnsi="Times New Roman" w:cs="Times New Roman"/>
          <w:sz w:val="24"/>
          <w:szCs w:val="24"/>
        </w:rPr>
        <w:t xml:space="preserve"> and the Bill of Rights in the Constitution of Kenya 2010.</w:t>
      </w:r>
    </w:p>
    <w:p w14:paraId="1E47301A" w14:textId="77777777" w:rsidR="00CC7D76" w:rsidRDefault="003547EE">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Partnerships and dissemination of findings</w:t>
      </w:r>
    </w:p>
    <w:p w14:paraId="2C0D0840" w14:textId="77C4BEAD" w:rsidR="00CC7D76" w:rsidRDefault="003547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work in partnership with the Participatory Cultures Lab, McGill University, Canada, a unit with expertise and extensive experience in Kenya with participatory public engagement methods including Photovoice and participatory video that we will use in this study. </w:t>
      </w:r>
      <w:r w:rsidR="00065D01">
        <w:rPr>
          <w:rFonts w:ascii="Times New Roman" w:eastAsia="Times New Roman" w:hAnsi="Times New Roman" w:cs="Times New Roman"/>
          <w:sz w:val="24"/>
          <w:szCs w:val="24"/>
        </w:rPr>
        <w:t>We will also work with Loughborough University to provide technical guidance regarding food and nutrition security and on visual participatory methodologies. We will also work with AFIDEP to provide technical support in engagement of parliamentarians and policy makers. Further, we will work with a legal practitioner to provide technical expertise in engagement with regards to the legal framework regarding the right to food.</w:t>
      </w:r>
    </w:p>
    <w:p w14:paraId="0B023893" w14:textId="77777777" w:rsidR="00CC7D76" w:rsidRDefault="00CC7D76">
      <w:pPr>
        <w:spacing w:after="0" w:line="360" w:lineRule="auto"/>
        <w:jc w:val="both"/>
        <w:rPr>
          <w:rFonts w:ascii="Times New Roman" w:eastAsia="Times New Roman" w:hAnsi="Times New Roman" w:cs="Times New Roman"/>
          <w:sz w:val="24"/>
          <w:szCs w:val="24"/>
        </w:rPr>
      </w:pPr>
    </w:p>
    <w:p w14:paraId="6F411127"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will also work in partnership with the government including the Unit of Nutrition and Dietetics from the Ministry of Health for enhanced uptake of findings and action, informed by our experience in the previous public engagement project, which indicated great advantage of working with the government officials in public engagement.</w:t>
      </w:r>
    </w:p>
    <w:p w14:paraId="2E3BF663" w14:textId="77777777" w:rsidR="00CC7D76" w:rsidRDefault="003547EE">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 and risks</w:t>
      </w:r>
    </w:p>
    <w:p w14:paraId="4D67F920"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endeavor to minimize any risks to the participants, their families or the community while participating in this engagement. This will be done by training the participants on ethics including photo ethics, which will ensure that no faces or identification details are reflected in the photos taken. </w:t>
      </w:r>
    </w:p>
    <w:p w14:paraId="28CD0D34"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consent process will ensure that the participant understands the implications of his/her participation. We will be guided by the ethical guidelines for protecting human participants, and maintain justice, beneficence, non-maleficence and respect for human dignity at all times.</w:t>
      </w:r>
    </w:p>
    <w:p w14:paraId="5D804FCB" w14:textId="77777777" w:rsidR="00CC7D76" w:rsidRDefault="003547EE">
      <w:pPr>
        <w:pStyle w:val="Heading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Management and organization of the project</w:t>
      </w:r>
    </w:p>
    <w:p w14:paraId="1E81F8AA" w14:textId="1C38896E" w:rsidR="00CC7D76" w:rsidRDefault="003547EE">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Dr. Elizabeth Kimani-Murage </w:t>
      </w:r>
      <w:r>
        <w:rPr>
          <w:rFonts w:ascii="Times New Roman" w:eastAsia="Times New Roman" w:hAnsi="Times New Roman" w:cs="Times New Roman"/>
          <w:sz w:val="24"/>
          <w:szCs w:val="24"/>
        </w:rPr>
        <w:t xml:space="preserve">is a Research Scientist at APHRC, an adjunct </w:t>
      </w:r>
      <w:r w:rsidR="00065D01">
        <w:rPr>
          <w:rFonts w:ascii="Times New Roman" w:eastAsia="Times New Roman" w:hAnsi="Times New Roman" w:cs="Times New Roman"/>
          <w:sz w:val="24"/>
          <w:szCs w:val="24"/>
        </w:rPr>
        <w:t xml:space="preserve">Assistant </w:t>
      </w:r>
      <w:r>
        <w:rPr>
          <w:rFonts w:ascii="Times New Roman" w:eastAsia="Times New Roman" w:hAnsi="Times New Roman" w:cs="Times New Roman"/>
          <w:sz w:val="24"/>
          <w:szCs w:val="24"/>
        </w:rPr>
        <w:t xml:space="preserve">Professor of Epidemiology at Brown University, USA and an Honorary Lecturer at Glasgow University, UK. She is a Public Health/Nutrition Specialist, and the Leader for Maternal and Child Wellbeing Unit at APHRC. She holds a PhD in Public Health (2010) focusing on the double burden of malnutrition. She is the PI and will offer overall technical direction to the project and be the contact person for any correspondence. </w:t>
      </w:r>
    </w:p>
    <w:p w14:paraId="7B2D4408"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Project Team Members</w:t>
      </w:r>
    </w:p>
    <w:p w14:paraId="1297E28B" w14:textId="4F64B681"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Ms. Danielle Doughman,</w:t>
      </w:r>
      <w:r>
        <w:rPr>
          <w:rFonts w:ascii="Times New Roman" w:eastAsia="Times New Roman" w:hAnsi="Times New Roman" w:cs="Times New Roman"/>
          <w:sz w:val="24"/>
          <w:szCs w:val="24"/>
        </w:rPr>
        <w:t xml:space="preserve"> Policy </w:t>
      </w:r>
      <w:r w:rsidR="006376C7">
        <w:rPr>
          <w:rFonts w:ascii="Times New Roman" w:eastAsia="Times New Roman" w:hAnsi="Times New Roman" w:cs="Times New Roman"/>
          <w:sz w:val="24"/>
          <w:szCs w:val="24"/>
        </w:rPr>
        <w:t>Outreach Manager</w:t>
      </w:r>
      <w:r>
        <w:rPr>
          <w:rFonts w:ascii="Times New Roman" w:eastAsia="Times New Roman" w:hAnsi="Times New Roman" w:cs="Times New Roman"/>
          <w:sz w:val="24"/>
          <w:szCs w:val="24"/>
        </w:rPr>
        <w:t xml:space="preserve"> at APHRC will participate in the public engagement activities and coordinate media outreach and policy engagement with the findings. </w:t>
      </w:r>
    </w:p>
    <w:p w14:paraId="67DA96E1"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Ms. Teresia Macharia</w:t>
      </w:r>
      <w:r>
        <w:rPr>
          <w:rFonts w:ascii="Times New Roman" w:eastAsia="Times New Roman" w:hAnsi="Times New Roman" w:cs="Times New Roman"/>
          <w:sz w:val="24"/>
          <w:szCs w:val="24"/>
        </w:rPr>
        <w:t>, Research Assistant at APHRC will draft the data collection tools, the consent forms, participate in organizing of community activities, coordinate the engagement activities, data collection, management and analysis and dissemination.</w:t>
      </w:r>
    </w:p>
    <w:p w14:paraId="47DB3245" w14:textId="77777777" w:rsidR="00CC7D76" w:rsidRDefault="00DB2283">
      <w:pPr>
        <w:spacing w:line="360" w:lineRule="auto"/>
        <w:jc w:val="both"/>
        <w:rPr>
          <w:rFonts w:ascii="Times New Roman" w:eastAsia="Times New Roman" w:hAnsi="Times New Roman" w:cs="Times New Roman"/>
          <w:sz w:val="24"/>
          <w:szCs w:val="24"/>
        </w:rPr>
      </w:pPr>
      <w:hyperlink r:id="rId9">
        <w:r w:rsidR="003547EE">
          <w:rPr>
            <w:rFonts w:ascii="Times New Roman" w:eastAsia="Times New Roman" w:hAnsi="Times New Roman" w:cs="Times New Roman"/>
            <w:b/>
            <w:sz w:val="24"/>
            <w:szCs w:val="24"/>
          </w:rPr>
          <w:t>Ms. Carol Gatura</w:t>
        </w:r>
      </w:hyperlink>
      <w:r w:rsidR="003547EE">
        <w:rPr>
          <w:rFonts w:ascii="Times New Roman" w:eastAsia="Times New Roman" w:hAnsi="Times New Roman" w:cs="Times New Roman"/>
          <w:sz w:val="24"/>
          <w:szCs w:val="24"/>
        </w:rPr>
        <w:t>,</w:t>
      </w:r>
      <w:r w:rsidR="003547EE">
        <w:rPr>
          <w:rFonts w:ascii="Times New Roman" w:eastAsia="Times New Roman" w:hAnsi="Times New Roman" w:cs="Times New Roman"/>
          <w:b/>
          <w:sz w:val="24"/>
          <w:szCs w:val="24"/>
        </w:rPr>
        <w:t xml:space="preserve"> </w:t>
      </w:r>
      <w:r w:rsidR="003547EE">
        <w:rPr>
          <w:rFonts w:ascii="Times New Roman" w:eastAsia="Times New Roman" w:hAnsi="Times New Roman" w:cs="Times New Roman"/>
          <w:sz w:val="24"/>
          <w:szCs w:val="24"/>
        </w:rPr>
        <w:t xml:space="preserve">Communications Officer at APHRC holds a Bachelor’s Degree in Communication from Daystar University. Previously, she was a reporter at CCTV Africa, K24 and CNBC Africa. She has eight years’ experience in the broadcast media industry. She is passionate about getting evidence-based research into the headlines. Development issues have been overtaken by politics and opinion, therefore many development decisions are driven by popular opinion and not evidence. She believes social media is a powerful tool in giving a voice to the voiceless. Carol will support the coordination and undertaking of actual public engagement activities.  </w:t>
      </w:r>
    </w:p>
    <w:p w14:paraId="3F24568F" w14:textId="77777777" w:rsidR="00CC7D76" w:rsidRDefault="00CC7D76">
      <w:pPr>
        <w:spacing w:line="360" w:lineRule="auto"/>
        <w:jc w:val="both"/>
        <w:rPr>
          <w:rFonts w:ascii="Times New Roman" w:eastAsia="Times New Roman" w:hAnsi="Times New Roman" w:cs="Times New Roman"/>
          <w:sz w:val="24"/>
          <w:szCs w:val="24"/>
        </w:rPr>
      </w:pPr>
    </w:p>
    <w:p w14:paraId="70198F74" w14:textId="7777777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Other project collaborators</w:t>
      </w:r>
    </w:p>
    <w:p w14:paraId="06D61673" w14:textId="7BD01208" w:rsidR="00CC7D76" w:rsidRDefault="007E1A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Prof </w:t>
      </w:r>
      <w:r w:rsidR="003547EE">
        <w:rPr>
          <w:rFonts w:ascii="Times New Roman" w:eastAsia="Times New Roman" w:hAnsi="Times New Roman" w:cs="Times New Roman"/>
          <w:b/>
          <w:sz w:val="24"/>
          <w:szCs w:val="24"/>
          <w:highlight w:val="white"/>
        </w:rPr>
        <w:t xml:space="preserve"> Paula Griffiths from Loughborough University, </w:t>
      </w:r>
      <w:r w:rsidR="003547EE">
        <w:rPr>
          <w:rFonts w:ascii="Times New Roman" w:eastAsia="Times New Roman" w:hAnsi="Times New Roman" w:cs="Times New Roman"/>
          <w:sz w:val="24"/>
          <w:szCs w:val="24"/>
          <w:highlight w:val="white"/>
        </w:rPr>
        <w:t>has extensive experience in maternal and child nutrition and some experience with participatory methodology.</w:t>
      </w:r>
      <w:r w:rsidR="003547EE">
        <w:rPr>
          <w:rFonts w:ascii="Times New Roman" w:eastAsia="Times New Roman" w:hAnsi="Times New Roman" w:cs="Times New Roman"/>
          <w:sz w:val="24"/>
          <w:szCs w:val="24"/>
        </w:rPr>
        <w:t xml:space="preserve"> She will offer </w:t>
      </w:r>
      <w:r w:rsidR="003547EE">
        <w:rPr>
          <w:rFonts w:ascii="Times New Roman" w:eastAsia="Times New Roman" w:hAnsi="Times New Roman" w:cs="Times New Roman"/>
          <w:sz w:val="24"/>
          <w:szCs w:val="24"/>
          <w:highlight w:val="white"/>
        </w:rPr>
        <w:t>will offer technical expertise to the project</w:t>
      </w:r>
      <w:r w:rsidR="003547EE">
        <w:rPr>
          <w:rFonts w:ascii="Times New Roman" w:eastAsia="Times New Roman" w:hAnsi="Times New Roman" w:cs="Times New Roman"/>
          <w:sz w:val="24"/>
          <w:szCs w:val="24"/>
        </w:rPr>
        <w:t>.</w:t>
      </w:r>
    </w:p>
    <w:p w14:paraId="5E27F292" w14:textId="7850AF3E"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Prof. Claudia Mitchell</w:t>
      </w:r>
      <w:r>
        <w:rPr>
          <w:rFonts w:ascii="Times New Roman" w:eastAsia="Times New Roman" w:hAnsi="Times New Roman" w:cs="Times New Roman"/>
          <w:sz w:val="24"/>
          <w:szCs w:val="24"/>
          <w:highlight w:val="white"/>
        </w:rPr>
        <w:t xml:space="preserve"> a James McGill Professor and an expert in participatory public engagement approaches at Participatory Cultures Lab, McGill University, Canada will offer </w:t>
      </w:r>
      <w:r>
        <w:rPr>
          <w:rFonts w:ascii="Times New Roman" w:eastAsia="Times New Roman" w:hAnsi="Times New Roman" w:cs="Times New Roman"/>
          <w:sz w:val="24"/>
          <w:szCs w:val="24"/>
        </w:rPr>
        <w:t xml:space="preserve">capacity building and guidance on participatory methods including Photovoice and participatory video for the study. She will be supported by </w:t>
      </w:r>
      <w:r>
        <w:rPr>
          <w:rFonts w:ascii="Times New Roman" w:eastAsia="Times New Roman" w:hAnsi="Times New Roman" w:cs="Times New Roman"/>
          <w:b/>
          <w:sz w:val="24"/>
          <w:szCs w:val="24"/>
        </w:rPr>
        <w:t xml:space="preserve">Dr. Jennifer Thompson </w:t>
      </w:r>
      <w:r>
        <w:rPr>
          <w:rFonts w:ascii="Times New Roman" w:eastAsia="Times New Roman" w:hAnsi="Times New Roman" w:cs="Times New Roman"/>
          <w:sz w:val="24"/>
          <w:szCs w:val="24"/>
        </w:rPr>
        <w:t>and</w:t>
      </w:r>
      <w:r>
        <w:rPr>
          <w:rFonts w:ascii="Times New Roman" w:eastAsia="Times New Roman" w:hAnsi="Times New Roman" w:cs="Times New Roman"/>
          <w:b/>
          <w:sz w:val="24"/>
          <w:szCs w:val="24"/>
        </w:rPr>
        <w:t xml:space="preserve"> Melanie </w:t>
      </w:r>
      <w:r w:rsidR="007E1AC9">
        <w:rPr>
          <w:rFonts w:ascii="Times New Roman" w:eastAsia="Times New Roman" w:hAnsi="Times New Roman" w:cs="Times New Roman"/>
          <w:b/>
          <w:sz w:val="24"/>
          <w:szCs w:val="24"/>
        </w:rPr>
        <w:t xml:space="preserve">Warwick </w:t>
      </w:r>
      <w:r>
        <w:rPr>
          <w:rFonts w:ascii="Times New Roman" w:eastAsia="Times New Roman" w:hAnsi="Times New Roman" w:cs="Times New Roman"/>
          <w:b/>
          <w:sz w:val="24"/>
          <w:szCs w:val="24"/>
        </w:rPr>
        <w:t xml:space="preserve">from </w:t>
      </w:r>
      <w:r>
        <w:rPr>
          <w:rFonts w:ascii="Times New Roman" w:eastAsia="Times New Roman" w:hAnsi="Times New Roman" w:cs="Times New Roman"/>
          <w:sz w:val="24"/>
          <w:szCs w:val="24"/>
          <w:highlight w:val="white"/>
        </w:rPr>
        <w:t>Loughborough University</w:t>
      </w:r>
      <w:r w:rsidR="007E1AC9">
        <w:rPr>
          <w:rFonts w:ascii="Times New Roman" w:eastAsia="Times New Roman" w:hAnsi="Times New Roman" w:cs="Times New Roman"/>
          <w:sz w:val="24"/>
          <w:szCs w:val="24"/>
        </w:rPr>
        <w:t>.</w:t>
      </w:r>
    </w:p>
    <w:p w14:paraId="3D91BF1A" w14:textId="62C57F41" w:rsidR="00CC7D76" w:rsidRDefault="003547E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Dr. Kariuki Muigua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highlight w:val="white"/>
        </w:rPr>
        <w:t>is a distinguished law scholar, Environmental Consultant, an accomplished mediator, a Chartered arbitrator, a holder of a Ph.D in law from the University of Nairobi and with widespread training and experience in both international and national commercial arbitration and mediation.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He will offer technical expertise in the engagement on the right two food to the project</w:t>
      </w:r>
      <w:r w:rsidR="009277BF">
        <w:rPr>
          <w:rFonts w:ascii="Times New Roman" w:eastAsia="Times New Roman" w:hAnsi="Times New Roman" w:cs="Times New Roman"/>
          <w:sz w:val="24"/>
          <w:szCs w:val="24"/>
          <w:highlight w:val="white"/>
        </w:rPr>
        <w:t xml:space="preserve"> with regards to the legal framework.</w:t>
      </w:r>
    </w:p>
    <w:p w14:paraId="1B5D3026" w14:textId="5BDDEDE7" w:rsidR="00CC7D76" w:rsidRDefault="003547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Prof Madise N.J</w:t>
      </w:r>
      <w:r>
        <w:rPr>
          <w:rFonts w:ascii="Times New Roman" w:eastAsia="Times New Roman" w:hAnsi="Times New Roman" w:cs="Times New Roman"/>
          <w:sz w:val="24"/>
          <w:szCs w:val="24"/>
          <w:highlight w:val="white"/>
        </w:rPr>
        <w:t xml:space="preserve"> a director of research and development policy and the </w:t>
      </w:r>
      <w:r w:rsidR="00065D01">
        <w:rPr>
          <w:rFonts w:ascii="Times New Roman" w:eastAsia="Times New Roman" w:hAnsi="Times New Roman" w:cs="Times New Roman"/>
          <w:sz w:val="24"/>
          <w:szCs w:val="24"/>
          <w:highlight w:val="white"/>
        </w:rPr>
        <w:t xml:space="preserve">Head </w:t>
      </w:r>
      <w:r>
        <w:rPr>
          <w:rFonts w:ascii="Times New Roman" w:eastAsia="Times New Roman" w:hAnsi="Times New Roman" w:cs="Times New Roman"/>
          <w:sz w:val="24"/>
          <w:szCs w:val="24"/>
          <w:highlight w:val="white"/>
        </w:rPr>
        <w:t xml:space="preserve">of the Malawi AFIDEP office is a Professor of Demography and Social Statistics at the University of Southampton. </w:t>
      </w:r>
      <w:r>
        <w:rPr>
          <w:rFonts w:ascii="Times New Roman" w:eastAsia="Times New Roman" w:hAnsi="Times New Roman" w:cs="Times New Roman"/>
          <w:sz w:val="24"/>
          <w:szCs w:val="24"/>
        </w:rPr>
        <w:t xml:space="preserve">She will offer </w:t>
      </w:r>
      <w:r>
        <w:rPr>
          <w:rFonts w:ascii="Times New Roman" w:eastAsia="Times New Roman" w:hAnsi="Times New Roman" w:cs="Times New Roman"/>
          <w:sz w:val="24"/>
          <w:szCs w:val="24"/>
          <w:highlight w:val="white"/>
        </w:rPr>
        <w:t xml:space="preserve">technical expertise </w:t>
      </w:r>
      <w:r w:rsidR="00065D01">
        <w:rPr>
          <w:rFonts w:ascii="Times New Roman" w:eastAsia="Times New Roman" w:hAnsi="Times New Roman" w:cs="Times New Roman"/>
          <w:sz w:val="24"/>
          <w:szCs w:val="24"/>
          <w:highlight w:val="white"/>
        </w:rPr>
        <w:t xml:space="preserve">with regards to food and nutrition security </w:t>
      </w:r>
      <w:r>
        <w:rPr>
          <w:rFonts w:ascii="Times New Roman" w:eastAsia="Times New Roman" w:hAnsi="Times New Roman" w:cs="Times New Roman"/>
          <w:sz w:val="24"/>
          <w:szCs w:val="24"/>
          <w:highlight w:val="white"/>
        </w:rPr>
        <w:t>to the project</w:t>
      </w:r>
      <w:r w:rsidR="00065D01">
        <w:rPr>
          <w:rFonts w:ascii="Times New Roman" w:eastAsia="Times New Roman" w:hAnsi="Times New Roman" w:cs="Times New Roman"/>
          <w:sz w:val="24"/>
          <w:szCs w:val="24"/>
        </w:rPr>
        <w:t>.</w:t>
      </w:r>
    </w:p>
    <w:p w14:paraId="57801370" w14:textId="01C3FB72" w:rsidR="00065D01" w:rsidRDefault="00DB2283" w:rsidP="00065D01">
      <w:pPr>
        <w:spacing w:line="360" w:lineRule="auto"/>
        <w:jc w:val="both"/>
        <w:rPr>
          <w:rFonts w:ascii="Times New Roman" w:eastAsia="Times New Roman" w:hAnsi="Times New Roman" w:cs="Times New Roman"/>
          <w:sz w:val="24"/>
          <w:szCs w:val="24"/>
        </w:rPr>
      </w:pPr>
      <w:hyperlink r:id="rId10">
        <w:r w:rsidR="00065D01">
          <w:rPr>
            <w:rFonts w:ascii="Times New Roman" w:eastAsia="Times New Roman" w:hAnsi="Times New Roman" w:cs="Times New Roman"/>
            <w:b/>
            <w:sz w:val="24"/>
            <w:szCs w:val="24"/>
          </w:rPr>
          <w:t>Dr. Rose Oronje</w:t>
        </w:r>
      </w:hyperlink>
      <w:r w:rsidR="00065D01">
        <w:rPr>
          <w:rFonts w:ascii="Times New Roman" w:eastAsia="Times New Roman" w:hAnsi="Times New Roman" w:cs="Times New Roman"/>
          <w:b/>
          <w:sz w:val="24"/>
          <w:szCs w:val="24"/>
        </w:rPr>
        <w:t xml:space="preserve">, </w:t>
      </w:r>
      <w:r w:rsidR="00065D01">
        <w:rPr>
          <w:rFonts w:ascii="Times New Roman" w:eastAsia="Times New Roman" w:hAnsi="Times New Roman" w:cs="Times New Roman"/>
          <w:sz w:val="24"/>
          <w:szCs w:val="24"/>
        </w:rPr>
        <w:t xml:space="preserve">a development policy and health systems researcher with over 12 years’ experience in evidence-to-policy communications, and health systems research. With a strong background in communication and policy analysis research (qualitative). Oronje has extensive experience in conducting analyses of policies and policy environments, and translating and communicating scientific evidence to policymakers and other general audiences (including the mass media). </w:t>
      </w:r>
      <w:r w:rsidR="00863D82">
        <w:rPr>
          <w:rFonts w:ascii="Times New Roman" w:eastAsia="Times New Roman" w:hAnsi="Times New Roman" w:cs="Times New Roman"/>
          <w:sz w:val="24"/>
          <w:szCs w:val="24"/>
        </w:rPr>
        <w:t xml:space="preserve">Supported by </w:t>
      </w:r>
      <w:r w:rsidR="00863D82" w:rsidRPr="002048F5">
        <w:rPr>
          <w:rFonts w:ascii="Times New Roman" w:eastAsia="Times New Roman" w:hAnsi="Times New Roman" w:cs="Times New Roman"/>
          <w:b/>
          <w:sz w:val="24"/>
          <w:szCs w:val="24"/>
        </w:rPr>
        <w:t>Ms Diana Warira</w:t>
      </w:r>
      <w:r w:rsidR="00863D82">
        <w:rPr>
          <w:rFonts w:ascii="Times New Roman" w:eastAsia="Times New Roman" w:hAnsi="Times New Roman" w:cs="Times New Roman"/>
          <w:sz w:val="24"/>
          <w:szCs w:val="24"/>
        </w:rPr>
        <w:t xml:space="preserve">, a Communications Officer at AFIDEP, </w:t>
      </w:r>
      <w:r w:rsidR="00065D01">
        <w:rPr>
          <w:rFonts w:ascii="Times New Roman" w:eastAsia="Times New Roman" w:hAnsi="Times New Roman" w:cs="Times New Roman"/>
          <w:sz w:val="24"/>
          <w:szCs w:val="24"/>
        </w:rPr>
        <w:t>Oronje will support the e</w:t>
      </w:r>
      <w:r w:rsidR="00863D82">
        <w:rPr>
          <w:rFonts w:ascii="Times New Roman" w:eastAsia="Times New Roman" w:hAnsi="Times New Roman" w:cs="Times New Roman"/>
          <w:sz w:val="24"/>
          <w:szCs w:val="24"/>
        </w:rPr>
        <w:t>ngagement with parliamentarians.</w:t>
      </w:r>
    </w:p>
    <w:p w14:paraId="22133FB7" w14:textId="0245B24D" w:rsidR="00065D01" w:rsidRDefault="00065D01">
      <w:pPr>
        <w:spacing w:line="360" w:lineRule="auto"/>
        <w:jc w:val="both"/>
        <w:rPr>
          <w:rFonts w:ascii="Times New Roman" w:eastAsia="Times New Roman" w:hAnsi="Times New Roman" w:cs="Times New Roman"/>
          <w:sz w:val="24"/>
          <w:szCs w:val="24"/>
        </w:rPr>
      </w:pPr>
    </w:p>
    <w:p w14:paraId="610CE444" w14:textId="4DD3C02F" w:rsidR="00CC7D76" w:rsidRDefault="00065D01">
      <w:pPr>
        <w:spacing w:line="360" w:lineRule="auto"/>
        <w:jc w:val="both"/>
        <w:rPr>
          <w:rFonts w:ascii="Times New Roman" w:eastAsia="Times New Roman" w:hAnsi="Times New Roman" w:cs="Times New Roman"/>
          <w:sz w:val="24"/>
          <w:szCs w:val="24"/>
          <w:highlight w:val="white"/>
        </w:rPr>
      </w:pPr>
      <w:r w:rsidRPr="009348A9">
        <w:rPr>
          <w:rFonts w:ascii="Times New Roman" w:eastAsia="Times New Roman" w:hAnsi="Times New Roman" w:cs="Times New Roman"/>
          <w:b/>
          <w:sz w:val="24"/>
          <w:szCs w:val="24"/>
          <w:highlight w:val="white"/>
        </w:rPr>
        <w:t xml:space="preserve">Ms </w:t>
      </w:r>
      <w:r w:rsidR="003547EE" w:rsidRPr="009348A9">
        <w:rPr>
          <w:rFonts w:ascii="Times New Roman" w:eastAsia="Times New Roman" w:hAnsi="Times New Roman" w:cs="Times New Roman"/>
          <w:b/>
          <w:sz w:val="24"/>
          <w:szCs w:val="24"/>
          <w:highlight w:val="white"/>
        </w:rPr>
        <w:t>Bella Starling</w:t>
      </w:r>
      <w:r w:rsidR="003547EE">
        <w:rPr>
          <w:rFonts w:ascii="Times New Roman" w:eastAsia="Times New Roman" w:hAnsi="Times New Roman" w:cs="Times New Roman"/>
          <w:sz w:val="24"/>
          <w:szCs w:val="24"/>
          <w:highlight w:val="white"/>
        </w:rPr>
        <w:t>, a Wellcome Trust Public Engagement Fellow will offer public engagement technical expertise to the project</w:t>
      </w:r>
      <w:r>
        <w:rPr>
          <w:rFonts w:ascii="Times New Roman" w:eastAsia="Times New Roman" w:hAnsi="Times New Roman" w:cs="Times New Roman"/>
          <w:sz w:val="24"/>
          <w:szCs w:val="24"/>
          <w:highlight w:val="white"/>
        </w:rPr>
        <w:t>.</w:t>
      </w:r>
    </w:p>
    <w:p w14:paraId="469DE2F6" w14:textId="77777777" w:rsidR="00CC7D76" w:rsidRDefault="00CC7D76">
      <w:pPr>
        <w:spacing w:line="360" w:lineRule="auto"/>
        <w:jc w:val="both"/>
        <w:rPr>
          <w:rFonts w:ascii="Times New Roman" w:eastAsia="Times New Roman" w:hAnsi="Times New Roman" w:cs="Times New Roman"/>
          <w:sz w:val="24"/>
          <w:szCs w:val="24"/>
        </w:rPr>
      </w:pPr>
    </w:p>
    <w:p w14:paraId="77A74C58" w14:textId="77777777" w:rsidR="00DB46B9" w:rsidRDefault="00DB46B9">
      <w:pPr>
        <w:spacing w:line="360" w:lineRule="auto"/>
        <w:jc w:val="both"/>
        <w:rPr>
          <w:rFonts w:ascii="Times New Roman" w:eastAsia="Times New Roman" w:hAnsi="Times New Roman" w:cs="Times New Roman"/>
          <w:sz w:val="24"/>
          <w:szCs w:val="24"/>
        </w:rPr>
      </w:pPr>
    </w:p>
    <w:p w14:paraId="461305B5" w14:textId="77777777" w:rsidR="00DB46B9" w:rsidRDefault="00DB46B9">
      <w:pPr>
        <w:spacing w:line="360" w:lineRule="auto"/>
        <w:jc w:val="both"/>
        <w:rPr>
          <w:rFonts w:ascii="Times New Roman" w:eastAsia="Times New Roman" w:hAnsi="Times New Roman" w:cs="Times New Roman"/>
          <w:sz w:val="24"/>
          <w:szCs w:val="24"/>
        </w:rPr>
      </w:pPr>
    </w:p>
    <w:p w14:paraId="3218E48A"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Schedule of activities</w:t>
      </w:r>
    </w:p>
    <w:p w14:paraId="00044E90" w14:textId="07F5B181" w:rsidR="00CC7D76" w:rsidRDefault="00CC7D76">
      <w:pPr>
        <w:spacing w:line="360" w:lineRule="auto"/>
        <w:jc w:val="both"/>
        <w:rPr>
          <w:rFonts w:ascii="Times New Roman" w:eastAsia="Times New Roman" w:hAnsi="Times New Roman" w:cs="Times New Roman"/>
          <w:sz w:val="24"/>
          <w:szCs w:val="24"/>
        </w:rPr>
      </w:pPr>
    </w:p>
    <w:tbl>
      <w:tblPr>
        <w:tblW w:w="10780" w:type="dxa"/>
        <w:tblLook w:val="04A0" w:firstRow="1" w:lastRow="0" w:firstColumn="1" w:lastColumn="0" w:noHBand="0" w:noVBand="1"/>
      </w:tblPr>
      <w:tblGrid>
        <w:gridCol w:w="2842"/>
        <w:gridCol w:w="283"/>
        <w:gridCol w:w="308"/>
        <w:gridCol w:w="391"/>
        <w:gridCol w:w="338"/>
        <w:gridCol w:w="391"/>
        <w:gridCol w:w="283"/>
        <w:gridCol w:w="283"/>
        <w:gridCol w:w="338"/>
        <w:gridCol w:w="311"/>
        <w:gridCol w:w="352"/>
        <w:gridCol w:w="348"/>
        <w:gridCol w:w="343"/>
        <w:gridCol w:w="283"/>
        <w:gridCol w:w="308"/>
        <w:gridCol w:w="391"/>
        <w:gridCol w:w="338"/>
        <w:gridCol w:w="391"/>
        <w:gridCol w:w="283"/>
        <w:gridCol w:w="283"/>
        <w:gridCol w:w="338"/>
        <w:gridCol w:w="311"/>
        <w:gridCol w:w="352"/>
        <w:gridCol w:w="348"/>
        <w:gridCol w:w="343"/>
      </w:tblGrid>
      <w:tr w:rsidR="00DB46B9" w:rsidRPr="00DB46B9" w14:paraId="37A562AB" w14:textId="77777777" w:rsidTr="00DB46B9">
        <w:trPr>
          <w:trHeight w:val="255"/>
        </w:trPr>
        <w:tc>
          <w:tcPr>
            <w:tcW w:w="5020"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17FED7A0"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Milestones</w:t>
            </w:r>
          </w:p>
        </w:tc>
        <w:tc>
          <w:tcPr>
            <w:tcW w:w="2880" w:type="dxa"/>
            <w:gridSpan w:val="12"/>
            <w:tcBorders>
              <w:top w:val="single" w:sz="8" w:space="0" w:color="auto"/>
              <w:left w:val="nil"/>
              <w:bottom w:val="single" w:sz="4" w:space="0" w:color="auto"/>
              <w:right w:val="single" w:sz="4" w:space="0" w:color="auto"/>
            </w:tcBorders>
            <w:shd w:val="clear" w:color="auto" w:fill="auto"/>
            <w:noWrap/>
            <w:vAlign w:val="bottom"/>
            <w:hideMark/>
          </w:tcPr>
          <w:p w14:paraId="26A2D198" w14:textId="77777777" w:rsidR="00DB46B9" w:rsidRPr="00DB46B9" w:rsidRDefault="00DB46B9" w:rsidP="00DB46B9">
            <w:pPr>
              <w:spacing w:after="0" w:line="240" w:lineRule="auto"/>
              <w:jc w:val="center"/>
              <w:rPr>
                <w:rFonts w:eastAsia="Times New Roman"/>
                <w:b/>
                <w:bCs/>
                <w:color w:val="000000"/>
                <w:sz w:val="20"/>
                <w:szCs w:val="20"/>
              </w:rPr>
            </w:pPr>
            <w:r w:rsidRPr="00DB46B9">
              <w:rPr>
                <w:rFonts w:eastAsia="Times New Roman"/>
                <w:b/>
                <w:bCs/>
                <w:color w:val="000000"/>
                <w:sz w:val="20"/>
                <w:szCs w:val="20"/>
              </w:rPr>
              <w:t>2018</w:t>
            </w:r>
          </w:p>
        </w:tc>
        <w:tc>
          <w:tcPr>
            <w:tcW w:w="2880" w:type="dxa"/>
            <w:gridSpan w:val="12"/>
            <w:tcBorders>
              <w:top w:val="single" w:sz="8" w:space="0" w:color="auto"/>
              <w:left w:val="nil"/>
              <w:bottom w:val="single" w:sz="4" w:space="0" w:color="auto"/>
              <w:right w:val="single" w:sz="8" w:space="0" w:color="000000"/>
            </w:tcBorders>
            <w:shd w:val="clear" w:color="auto" w:fill="auto"/>
            <w:noWrap/>
            <w:vAlign w:val="bottom"/>
            <w:hideMark/>
          </w:tcPr>
          <w:p w14:paraId="4F4F7E19" w14:textId="77777777" w:rsidR="00DB46B9" w:rsidRPr="00DB46B9" w:rsidRDefault="00DB46B9" w:rsidP="00DB46B9">
            <w:pPr>
              <w:spacing w:after="0" w:line="240" w:lineRule="auto"/>
              <w:jc w:val="center"/>
              <w:rPr>
                <w:rFonts w:eastAsia="Times New Roman"/>
                <w:b/>
                <w:bCs/>
                <w:color w:val="000000"/>
                <w:sz w:val="20"/>
                <w:szCs w:val="20"/>
              </w:rPr>
            </w:pPr>
            <w:r w:rsidRPr="00DB46B9">
              <w:rPr>
                <w:rFonts w:eastAsia="Times New Roman"/>
                <w:b/>
                <w:bCs/>
                <w:color w:val="000000"/>
                <w:sz w:val="20"/>
                <w:szCs w:val="20"/>
              </w:rPr>
              <w:t>2019</w:t>
            </w:r>
          </w:p>
        </w:tc>
      </w:tr>
      <w:tr w:rsidR="00DB46B9" w:rsidRPr="00DB46B9" w14:paraId="360D39D4"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5EC70EF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1594FEB5"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J</w:t>
            </w:r>
          </w:p>
        </w:tc>
        <w:tc>
          <w:tcPr>
            <w:tcW w:w="202" w:type="dxa"/>
            <w:tcBorders>
              <w:top w:val="nil"/>
              <w:left w:val="nil"/>
              <w:bottom w:val="single" w:sz="4" w:space="0" w:color="auto"/>
              <w:right w:val="single" w:sz="4" w:space="0" w:color="auto"/>
            </w:tcBorders>
            <w:shd w:val="clear" w:color="auto" w:fill="auto"/>
            <w:noWrap/>
            <w:vAlign w:val="bottom"/>
            <w:hideMark/>
          </w:tcPr>
          <w:p w14:paraId="0FFC205A"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F</w:t>
            </w:r>
          </w:p>
        </w:tc>
        <w:tc>
          <w:tcPr>
            <w:tcW w:w="340" w:type="dxa"/>
            <w:tcBorders>
              <w:top w:val="nil"/>
              <w:left w:val="nil"/>
              <w:bottom w:val="single" w:sz="4" w:space="0" w:color="auto"/>
              <w:right w:val="single" w:sz="4" w:space="0" w:color="auto"/>
            </w:tcBorders>
            <w:shd w:val="clear" w:color="auto" w:fill="auto"/>
            <w:noWrap/>
            <w:vAlign w:val="bottom"/>
            <w:hideMark/>
          </w:tcPr>
          <w:p w14:paraId="5671D1D2"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M</w:t>
            </w:r>
          </w:p>
        </w:tc>
        <w:tc>
          <w:tcPr>
            <w:tcW w:w="252" w:type="dxa"/>
            <w:tcBorders>
              <w:top w:val="nil"/>
              <w:left w:val="nil"/>
              <w:bottom w:val="single" w:sz="4" w:space="0" w:color="auto"/>
              <w:right w:val="single" w:sz="4" w:space="0" w:color="auto"/>
            </w:tcBorders>
            <w:shd w:val="clear" w:color="auto" w:fill="auto"/>
            <w:noWrap/>
            <w:vAlign w:val="bottom"/>
            <w:hideMark/>
          </w:tcPr>
          <w:p w14:paraId="678B36CF"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A</w:t>
            </w:r>
          </w:p>
        </w:tc>
        <w:tc>
          <w:tcPr>
            <w:tcW w:w="340" w:type="dxa"/>
            <w:tcBorders>
              <w:top w:val="nil"/>
              <w:left w:val="nil"/>
              <w:bottom w:val="single" w:sz="4" w:space="0" w:color="auto"/>
              <w:right w:val="single" w:sz="4" w:space="0" w:color="auto"/>
            </w:tcBorders>
            <w:shd w:val="clear" w:color="auto" w:fill="auto"/>
            <w:noWrap/>
            <w:vAlign w:val="bottom"/>
            <w:hideMark/>
          </w:tcPr>
          <w:p w14:paraId="62C29503"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M</w:t>
            </w:r>
          </w:p>
        </w:tc>
        <w:tc>
          <w:tcPr>
            <w:tcW w:w="161" w:type="dxa"/>
            <w:tcBorders>
              <w:top w:val="nil"/>
              <w:left w:val="nil"/>
              <w:bottom w:val="single" w:sz="4" w:space="0" w:color="auto"/>
              <w:right w:val="single" w:sz="4" w:space="0" w:color="auto"/>
            </w:tcBorders>
            <w:shd w:val="clear" w:color="auto" w:fill="auto"/>
            <w:noWrap/>
            <w:vAlign w:val="bottom"/>
            <w:hideMark/>
          </w:tcPr>
          <w:p w14:paraId="5DDB90EB"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J</w:t>
            </w:r>
          </w:p>
        </w:tc>
        <w:tc>
          <w:tcPr>
            <w:tcW w:w="161" w:type="dxa"/>
            <w:tcBorders>
              <w:top w:val="nil"/>
              <w:left w:val="nil"/>
              <w:bottom w:val="single" w:sz="4" w:space="0" w:color="auto"/>
              <w:right w:val="single" w:sz="4" w:space="0" w:color="auto"/>
            </w:tcBorders>
            <w:shd w:val="clear" w:color="auto" w:fill="auto"/>
            <w:noWrap/>
            <w:vAlign w:val="bottom"/>
            <w:hideMark/>
          </w:tcPr>
          <w:p w14:paraId="4B5378BD"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J</w:t>
            </w:r>
          </w:p>
        </w:tc>
        <w:tc>
          <w:tcPr>
            <w:tcW w:w="252" w:type="dxa"/>
            <w:tcBorders>
              <w:top w:val="nil"/>
              <w:left w:val="nil"/>
              <w:bottom w:val="single" w:sz="4" w:space="0" w:color="auto"/>
              <w:right w:val="single" w:sz="4" w:space="0" w:color="auto"/>
            </w:tcBorders>
            <w:shd w:val="clear" w:color="auto" w:fill="auto"/>
            <w:noWrap/>
            <w:vAlign w:val="bottom"/>
            <w:hideMark/>
          </w:tcPr>
          <w:p w14:paraId="5C4BBDAE"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A</w:t>
            </w:r>
          </w:p>
        </w:tc>
        <w:tc>
          <w:tcPr>
            <w:tcW w:w="207" w:type="dxa"/>
            <w:tcBorders>
              <w:top w:val="nil"/>
              <w:left w:val="nil"/>
              <w:bottom w:val="single" w:sz="4" w:space="0" w:color="auto"/>
              <w:right w:val="single" w:sz="4" w:space="0" w:color="auto"/>
            </w:tcBorders>
            <w:shd w:val="clear" w:color="auto" w:fill="auto"/>
            <w:noWrap/>
            <w:vAlign w:val="bottom"/>
            <w:hideMark/>
          </w:tcPr>
          <w:p w14:paraId="60B89FF0"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S</w:t>
            </w:r>
          </w:p>
        </w:tc>
        <w:tc>
          <w:tcPr>
            <w:tcW w:w="275" w:type="dxa"/>
            <w:tcBorders>
              <w:top w:val="nil"/>
              <w:left w:val="nil"/>
              <w:bottom w:val="single" w:sz="4" w:space="0" w:color="auto"/>
              <w:right w:val="single" w:sz="4" w:space="0" w:color="auto"/>
            </w:tcBorders>
            <w:shd w:val="clear" w:color="auto" w:fill="auto"/>
            <w:noWrap/>
            <w:vAlign w:val="bottom"/>
            <w:hideMark/>
          </w:tcPr>
          <w:p w14:paraId="25DCB153"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O</w:t>
            </w:r>
          </w:p>
        </w:tc>
        <w:tc>
          <w:tcPr>
            <w:tcW w:w="269" w:type="dxa"/>
            <w:tcBorders>
              <w:top w:val="nil"/>
              <w:left w:val="nil"/>
              <w:bottom w:val="single" w:sz="4" w:space="0" w:color="auto"/>
              <w:right w:val="single" w:sz="4" w:space="0" w:color="auto"/>
            </w:tcBorders>
            <w:shd w:val="clear" w:color="auto" w:fill="auto"/>
            <w:noWrap/>
            <w:vAlign w:val="bottom"/>
            <w:hideMark/>
          </w:tcPr>
          <w:p w14:paraId="1E8B8FA7"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N</w:t>
            </w:r>
          </w:p>
        </w:tc>
        <w:tc>
          <w:tcPr>
            <w:tcW w:w="260" w:type="dxa"/>
            <w:tcBorders>
              <w:top w:val="nil"/>
              <w:left w:val="nil"/>
              <w:bottom w:val="single" w:sz="4" w:space="0" w:color="auto"/>
              <w:right w:val="single" w:sz="4" w:space="0" w:color="auto"/>
            </w:tcBorders>
            <w:shd w:val="clear" w:color="auto" w:fill="auto"/>
            <w:noWrap/>
            <w:vAlign w:val="bottom"/>
            <w:hideMark/>
          </w:tcPr>
          <w:p w14:paraId="6B12AC9E"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D</w:t>
            </w:r>
          </w:p>
        </w:tc>
        <w:tc>
          <w:tcPr>
            <w:tcW w:w="161" w:type="dxa"/>
            <w:tcBorders>
              <w:top w:val="nil"/>
              <w:left w:val="nil"/>
              <w:bottom w:val="single" w:sz="4" w:space="0" w:color="auto"/>
              <w:right w:val="single" w:sz="4" w:space="0" w:color="auto"/>
            </w:tcBorders>
            <w:shd w:val="clear" w:color="auto" w:fill="auto"/>
            <w:noWrap/>
            <w:vAlign w:val="bottom"/>
            <w:hideMark/>
          </w:tcPr>
          <w:p w14:paraId="46751705"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J</w:t>
            </w:r>
          </w:p>
        </w:tc>
        <w:tc>
          <w:tcPr>
            <w:tcW w:w="202" w:type="dxa"/>
            <w:tcBorders>
              <w:top w:val="nil"/>
              <w:left w:val="nil"/>
              <w:bottom w:val="single" w:sz="4" w:space="0" w:color="auto"/>
              <w:right w:val="single" w:sz="4" w:space="0" w:color="auto"/>
            </w:tcBorders>
            <w:shd w:val="clear" w:color="auto" w:fill="auto"/>
            <w:noWrap/>
            <w:vAlign w:val="bottom"/>
            <w:hideMark/>
          </w:tcPr>
          <w:p w14:paraId="1500EAC5"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F</w:t>
            </w:r>
          </w:p>
        </w:tc>
        <w:tc>
          <w:tcPr>
            <w:tcW w:w="340" w:type="dxa"/>
            <w:tcBorders>
              <w:top w:val="nil"/>
              <w:left w:val="nil"/>
              <w:bottom w:val="single" w:sz="4" w:space="0" w:color="auto"/>
              <w:right w:val="single" w:sz="4" w:space="0" w:color="auto"/>
            </w:tcBorders>
            <w:shd w:val="clear" w:color="auto" w:fill="auto"/>
            <w:noWrap/>
            <w:vAlign w:val="bottom"/>
            <w:hideMark/>
          </w:tcPr>
          <w:p w14:paraId="5F3B33C6"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M</w:t>
            </w:r>
          </w:p>
        </w:tc>
        <w:tc>
          <w:tcPr>
            <w:tcW w:w="252" w:type="dxa"/>
            <w:tcBorders>
              <w:top w:val="nil"/>
              <w:left w:val="nil"/>
              <w:bottom w:val="single" w:sz="4" w:space="0" w:color="auto"/>
              <w:right w:val="single" w:sz="4" w:space="0" w:color="auto"/>
            </w:tcBorders>
            <w:shd w:val="clear" w:color="auto" w:fill="auto"/>
            <w:noWrap/>
            <w:vAlign w:val="bottom"/>
            <w:hideMark/>
          </w:tcPr>
          <w:p w14:paraId="7D3E1336"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A</w:t>
            </w:r>
          </w:p>
        </w:tc>
        <w:tc>
          <w:tcPr>
            <w:tcW w:w="340" w:type="dxa"/>
            <w:tcBorders>
              <w:top w:val="nil"/>
              <w:left w:val="nil"/>
              <w:bottom w:val="single" w:sz="4" w:space="0" w:color="auto"/>
              <w:right w:val="single" w:sz="4" w:space="0" w:color="auto"/>
            </w:tcBorders>
            <w:shd w:val="clear" w:color="auto" w:fill="auto"/>
            <w:noWrap/>
            <w:vAlign w:val="bottom"/>
            <w:hideMark/>
          </w:tcPr>
          <w:p w14:paraId="5173E81E"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M</w:t>
            </w:r>
          </w:p>
        </w:tc>
        <w:tc>
          <w:tcPr>
            <w:tcW w:w="161" w:type="dxa"/>
            <w:tcBorders>
              <w:top w:val="nil"/>
              <w:left w:val="nil"/>
              <w:bottom w:val="single" w:sz="4" w:space="0" w:color="auto"/>
              <w:right w:val="single" w:sz="4" w:space="0" w:color="auto"/>
            </w:tcBorders>
            <w:shd w:val="clear" w:color="auto" w:fill="auto"/>
            <w:noWrap/>
            <w:vAlign w:val="bottom"/>
            <w:hideMark/>
          </w:tcPr>
          <w:p w14:paraId="669C9725"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J</w:t>
            </w:r>
          </w:p>
        </w:tc>
        <w:tc>
          <w:tcPr>
            <w:tcW w:w="161" w:type="dxa"/>
            <w:tcBorders>
              <w:top w:val="nil"/>
              <w:left w:val="nil"/>
              <w:bottom w:val="single" w:sz="4" w:space="0" w:color="auto"/>
              <w:right w:val="single" w:sz="4" w:space="0" w:color="auto"/>
            </w:tcBorders>
            <w:shd w:val="clear" w:color="auto" w:fill="auto"/>
            <w:noWrap/>
            <w:vAlign w:val="bottom"/>
            <w:hideMark/>
          </w:tcPr>
          <w:p w14:paraId="205F54E3"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J</w:t>
            </w:r>
          </w:p>
        </w:tc>
        <w:tc>
          <w:tcPr>
            <w:tcW w:w="252" w:type="dxa"/>
            <w:tcBorders>
              <w:top w:val="nil"/>
              <w:left w:val="nil"/>
              <w:bottom w:val="single" w:sz="4" w:space="0" w:color="auto"/>
              <w:right w:val="single" w:sz="4" w:space="0" w:color="auto"/>
            </w:tcBorders>
            <w:shd w:val="clear" w:color="auto" w:fill="auto"/>
            <w:noWrap/>
            <w:vAlign w:val="bottom"/>
            <w:hideMark/>
          </w:tcPr>
          <w:p w14:paraId="04485844"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A</w:t>
            </w:r>
          </w:p>
        </w:tc>
        <w:tc>
          <w:tcPr>
            <w:tcW w:w="207" w:type="dxa"/>
            <w:tcBorders>
              <w:top w:val="nil"/>
              <w:left w:val="nil"/>
              <w:bottom w:val="single" w:sz="4" w:space="0" w:color="auto"/>
              <w:right w:val="single" w:sz="4" w:space="0" w:color="auto"/>
            </w:tcBorders>
            <w:shd w:val="clear" w:color="auto" w:fill="auto"/>
            <w:noWrap/>
            <w:vAlign w:val="bottom"/>
            <w:hideMark/>
          </w:tcPr>
          <w:p w14:paraId="666EED56"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S</w:t>
            </w:r>
          </w:p>
        </w:tc>
        <w:tc>
          <w:tcPr>
            <w:tcW w:w="275" w:type="dxa"/>
            <w:tcBorders>
              <w:top w:val="nil"/>
              <w:left w:val="nil"/>
              <w:bottom w:val="single" w:sz="4" w:space="0" w:color="auto"/>
              <w:right w:val="single" w:sz="4" w:space="0" w:color="auto"/>
            </w:tcBorders>
            <w:shd w:val="clear" w:color="auto" w:fill="auto"/>
            <w:noWrap/>
            <w:vAlign w:val="bottom"/>
            <w:hideMark/>
          </w:tcPr>
          <w:p w14:paraId="4893E4C4"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O</w:t>
            </w:r>
          </w:p>
        </w:tc>
        <w:tc>
          <w:tcPr>
            <w:tcW w:w="269" w:type="dxa"/>
            <w:tcBorders>
              <w:top w:val="nil"/>
              <w:left w:val="nil"/>
              <w:bottom w:val="single" w:sz="4" w:space="0" w:color="auto"/>
              <w:right w:val="single" w:sz="4" w:space="0" w:color="auto"/>
            </w:tcBorders>
            <w:shd w:val="clear" w:color="auto" w:fill="auto"/>
            <w:noWrap/>
            <w:vAlign w:val="bottom"/>
            <w:hideMark/>
          </w:tcPr>
          <w:p w14:paraId="6CBC1BF3"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N</w:t>
            </w:r>
          </w:p>
        </w:tc>
        <w:tc>
          <w:tcPr>
            <w:tcW w:w="260" w:type="dxa"/>
            <w:tcBorders>
              <w:top w:val="nil"/>
              <w:left w:val="nil"/>
              <w:bottom w:val="single" w:sz="4" w:space="0" w:color="auto"/>
              <w:right w:val="single" w:sz="8" w:space="0" w:color="auto"/>
            </w:tcBorders>
            <w:shd w:val="clear" w:color="auto" w:fill="auto"/>
            <w:noWrap/>
            <w:vAlign w:val="bottom"/>
            <w:hideMark/>
          </w:tcPr>
          <w:p w14:paraId="078936F0" w14:textId="77777777" w:rsidR="00DB46B9" w:rsidRPr="00DB46B9" w:rsidRDefault="00DB46B9" w:rsidP="00DB46B9">
            <w:pPr>
              <w:spacing w:after="0" w:line="240" w:lineRule="auto"/>
              <w:rPr>
                <w:rFonts w:eastAsia="Times New Roman"/>
                <w:b/>
                <w:bCs/>
                <w:color w:val="000000"/>
                <w:sz w:val="20"/>
                <w:szCs w:val="20"/>
              </w:rPr>
            </w:pPr>
            <w:r w:rsidRPr="00DB46B9">
              <w:rPr>
                <w:rFonts w:eastAsia="Times New Roman"/>
                <w:b/>
                <w:bCs/>
                <w:color w:val="000000"/>
                <w:sz w:val="20"/>
                <w:szCs w:val="20"/>
              </w:rPr>
              <w:t>D</w:t>
            </w:r>
          </w:p>
        </w:tc>
      </w:tr>
      <w:tr w:rsidR="00DB46B9" w:rsidRPr="00DB46B9" w14:paraId="0DB8B82C"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34704D0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xml:space="preserve">Ethical clearance </w:t>
            </w:r>
          </w:p>
        </w:tc>
        <w:tc>
          <w:tcPr>
            <w:tcW w:w="161" w:type="dxa"/>
            <w:tcBorders>
              <w:top w:val="nil"/>
              <w:left w:val="nil"/>
              <w:bottom w:val="single" w:sz="4" w:space="0" w:color="auto"/>
              <w:right w:val="single" w:sz="4" w:space="0" w:color="auto"/>
            </w:tcBorders>
            <w:shd w:val="clear" w:color="auto" w:fill="auto"/>
            <w:noWrap/>
            <w:vAlign w:val="bottom"/>
            <w:hideMark/>
          </w:tcPr>
          <w:p w14:paraId="5348360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144C6EC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5342746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377952E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446EA24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6353DA9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22F52B5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328D998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7D489F5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6615ED1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7235DB4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auto" w:fill="auto"/>
            <w:noWrap/>
            <w:vAlign w:val="bottom"/>
            <w:hideMark/>
          </w:tcPr>
          <w:p w14:paraId="172A350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4940CEF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5650C4E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739DBBD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053BE14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653D2C4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76D8FD2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7D73CA8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5E2E954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3C20DF9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542D884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71D2EEE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auto" w:fill="auto"/>
            <w:noWrap/>
            <w:vAlign w:val="bottom"/>
            <w:hideMark/>
          </w:tcPr>
          <w:p w14:paraId="4422FFB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40A09251"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027E154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Public engagement workshop</w:t>
            </w:r>
          </w:p>
        </w:tc>
        <w:tc>
          <w:tcPr>
            <w:tcW w:w="161" w:type="dxa"/>
            <w:tcBorders>
              <w:top w:val="nil"/>
              <w:left w:val="nil"/>
              <w:bottom w:val="single" w:sz="4" w:space="0" w:color="auto"/>
              <w:right w:val="single" w:sz="4" w:space="0" w:color="auto"/>
            </w:tcBorders>
            <w:shd w:val="clear" w:color="auto" w:fill="auto"/>
            <w:noWrap/>
            <w:vAlign w:val="bottom"/>
            <w:hideMark/>
          </w:tcPr>
          <w:p w14:paraId="3A03EFF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441A553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4142FD9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4207339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2953085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7174AFD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248A1BE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615D364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4FF7EE9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7589553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309840C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auto" w:fill="auto"/>
            <w:noWrap/>
            <w:vAlign w:val="bottom"/>
            <w:hideMark/>
          </w:tcPr>
          <w:p w14:paraId="5BFA0BE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22A76F3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0C616F3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10F43E3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050478E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179F58D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571EF90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5A45719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3523901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305B7AD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4084D56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42FB08C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auto" w:fill="auto"/>
            <w:noWrap/>
            <w:vAlign w:val="bottom"/>
            <w:hideMark/>
          </w:tcPr>
          <w:p w14:paraId="338CEE5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7DF226A5"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6B19F9E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Inception meeting</w:t>
            </w:r>
          </w:p>
        </w:tc>
        <w:tc>
          <w:tcPr>
            <w:tcW w:w="161" w:type="dxa"/>
            <w:tcBorders>
              <w:top w:val="nil"/>
              <w:left w:val="nil"/>
              <w:bottom w:val="single" w:sz="4" w:space="0" w:color="auto"/>
              <w:right w:val="single" w:sz="4" w:space="0" w:color="auto"/>
            </w:tcBorders>
            <w:shd w:val="clear" w:color="auto" w:fill="auto"/>
            <w:noWrap/>
            <w:vAlign w:val="bottom"/>
            <w:hideMark/>
          </w:tcPr>
          <w:p w14:paraId="5E95E46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3767D4B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2558BBD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582AD98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7EE8199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292B626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006A85C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1199CE0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54827E2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2D2E4A5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63E6B52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auto" w:fill="auto"/>
            <w:noWrap/>
            <w:vAlign w:val="bottom"/>
            <w:hideMark/>
          </w:tcPr>
          <w:p w14:paraId="24C1B42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3628FB1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5D362AD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0215CFB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19CDC0D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056C0ED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1D83107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481ACF4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478F169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5763388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147BCB4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6C31A2B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auto" w:fill="auto"/>
            <w:noWrap/>
            <w:vAlign w:val="bottom"/>
            <w:hideMark/>
          </w:tcPr>
          <w:p w14:paraId="473CAE2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379537BA"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4DC17A4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Stakeholders mapping exercise</w:t>
            </w:r>
          </w:p>
        </w:tc>
        <w:tc>
          <w:tcPr>
            <w:tcW w:w="161" w:type="dxa"/>
            <w:tcBorders>
              <w:top w:val="nil"/>
              <w:left w:val="nil"/>
              <w:bottom w:val="single" w:sz="4" w:space="0" w:color="auto"/>
              <w:right w:val="single" w:sz="4" w:space="0" w:color="auto"/>
            </w:tcBorders>
            <w:shd w:val="clear" w:color="000000" w:fill="A6A6A6"/>
            <w:noWrap/>
            <w:vAlign w:val="bottom"/>
            <w:hideMark/>
          </w:tcPr>
          <w:p w14:paraId="127CFD3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000000" w:fill="A6A6A6"/>
            <w:noWrap/>
            <w:vAlign w:val="bottom"/>
            <w:hideMark/>
          </w:tcPr>
          <w:p w14:paraId="6009FCE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7A37AA9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4498550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2303804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585E0D1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2B294CF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6A7AE4F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07ADCE6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31D387D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1B0E9E0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auto" w:fill="auto"/>
            <w:noWrap/>
            <w:vAlign w:val="bottom"/>
            <w:hideMark/>
          </w:tcPr>
          <w:p w14:paraId="1AD0DCA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59AE3E1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0C9124D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373F2B3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0D68BD8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063BF63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4561F78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5A618B1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6B22197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1638E7B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201D40F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1D51875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auto" w:fill="auto"/>
            <w:noWrap/>
            <w:vAlign w:val="bottom"/>
            <w:hideMark/>
          </w:tcPr>
          <w:p w14:paraId="5BC1DF0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6CC84924"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7287B8E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Policy makers/stakeholders/experts engagement</w:t>
            </w:r>
          </w:p>
        </w:tc>
        <w:tc>
          <w:tcPr>
            <w:tcW w:w="161" w:type="dxa"/>
            <w:tcBorders>
              <w:top w:val="nil"/>
              <w:left w:val="nil"/>
              <w:bottom w:val="single" w:sz="4" w:space="0" w:color="auto"/>
              <w:right w:val="single" w:sz="4" w:space="0" w:color="auto"/>
            </w:tcBorders>
            <w:shd w:val="clear" w:color="auto" w:fill="auto"/>
            <w:noWrap/>
            <w:vAlign w:val="bottom"/>
            <w:hideMark/>
          </w:tcPr>
          <w:p w14:paraId="5BCD6A0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726A89E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7C39558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3E94257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546F24D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46E4622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4296788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219A2D9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32D3678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7336601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0810E38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auto" w:fill="auto"/>
            <w:noWrap/>
            <w:vAlign w:val="bottom"/>
            <w:hideMark/>
          </w:tcPr>
          <w:p w14:paraId="0AF5095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7574D00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000000" w:fill="A6A6A6"/>
            <w:noWrap/>
            <w:vAlign w:val="bottom"/>
            <w:hideMark/>
          </w:tcPr>
          <w:p w14:paraId="1D5EADC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543DC5D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60DCCB4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116F901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7FF8147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6B358C4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0052FCB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0AB60DF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05427E8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62FC889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auto" w:fill="auto"/>
            <w:noWrap/>
            <w:vAlign w:val="bottom"/>
            <w:hideMark/>
          </w:tcPr>
          <w:p w14:paraId="0D1153C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68A6C6BE"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5AAAE555" w14:textId="233B2C25"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Community public enga</w:t>
            </w:r>
            <w:r w:rsidR="009348A9">
              <w:rPr>
                <w:rFonts w:eastAsia="Times New Roman"/>
                <w:color w:val="000000"/>
                <w:sz w:val="20"/>
                <w:szCs w:val="20"/>
              </w:rPr>
              <w:t>ge</w:t>
            </w:r>
            <w:r w:rsidRPr="00DB46B9">
              <w:rPr>
                <w:rFonts w:eastAsia="Times New Roman"/>
                <w:color w:val="000000"/>
                <w:sz w:val="20"/>
                <w:szCs w:val="20"/>
              </w:rPr>
              <w:t xml:space="preserve">ment </w:t>
            </w:r>
          </w:p>
        </w:tc>
        <w:tc>
          <w:tcPr>
            <w:tcW w:w="161" w:type="dxa"/>
            <w:tcBorders>
              <w:top w:val="nil"/>
              <w:left w:val="nil"/>
              <w:bottom w:val="single" w:sz="4" w:space="0" w:color="auto"/>
              <w:right w:val="single" w:sz="4" w:space="0" w:color="auto"/>
            </w:tcBorders>
            <w:shd w:val="clear" w:color="auto" w:fill="auto"/>
            <w:noWrap/>
            <w:vAlign w:val="bottom"/>
            <w:hideMark/>
          </w:tcPr>
          <w:p w14:paraId="692CE67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7A913A7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307DCB8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64F5556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32DA311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77998BE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589818B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5DFA215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000000" w:fill="A6A6A6"/>
            <w:noWrap/>
            <w:vAlign w:val="bottom"/>
            <w:hideMark/>
          </w:tcPr>
          <w:p w14:paraId="5FDDEB2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5F93549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000000" w:fill="A6A6A6"/>
            <w:noWrap/>
            <w:vAlign w:val="bottom"/>
            <w:hideMark/>
          </w:tcPr>
          <w:p w14:paraId="322116B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000000" w:fill="A6A6A6"/>
            <w:noWrap/>
            <w:vAlign w:val="bottom"/>
            <w:hideMark/>
          </w:tcPr>
          <w:p w14:paraId="3A727AD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54DEB78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000000" w:fill="A6A6A6"/>
            <w:noWrap/>
            <w:vAlign w:val="bottom"/>
            <w:hideMark/>
          </w:tcPr>
          <w:p w14:paraId="7F33D62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02ABE97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18285CC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5F7B793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1EE5EB5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7581BFC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0DA6C2A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5185813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09BAF5F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647A0C0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auto" w:fill="auto"/>
            <w:noWrap/>
            <w:vAlign w:val="bottom"/>
            <w:hideMark/>
          </w:tcPr>
          <w:p w14:paraId="392C041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2C9BE3E1"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61234AA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Qualitative data management and analysis</w:t>
            </w:r>
          </w:p>
        </w:tc>
        <w:tc>
          <w:tcPr>
            <w:tcW w:w="161" w:type="dxa"/>
            <w:tcBorders>
              <w:top w:val="nil"/>
              <w:left w:val="nil"/>
              <w:bottom w:val="single" w:sz="4" w:space="0" w:color="auto"/>
              <w:right w:val="single" w:sz="4" w:space="0" w:color="auto"/>
            </w:tcBorders>
            <w:shd w:val="clear" w:color="auto" w:fill="auto"/>
            <w:noWrap/>
            <w:vAlign w:val="bottom"/>
            <w:hideMark/>
          </w:tcPr>
          <w:p w14:paraId="21F4BF0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4550D31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48BE327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43A3637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6E2B8A5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1767421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6F5E2F7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nil"/>
              <w:right w:val="nil"/>
            </w:tcBorders>
            <w:shd w:val="clear" w:color="auto" w:fill="auto"/>
            <w:noWrap/>
            <w:vAlign w:val="bottom"/>
            <w:hideMark/>
          </w:tcPr>
          <w:p w14:paraId="0B4F9EEF" w14:textId="77777777" w:rsidR="00DB46B9" w:rsidRPr="00DB46B9" w:rsidRDefault="00DB46B9" w:rsidP="00DB46B9">
            <w:pPr>
              <w:spacing w:after="0" w:line="240" w:lineRule="auto"/>
              <w:rPr>
                <w:rFonts w:eastAsia="Times New Roman"/>
                <w:color w:val="000000"/>
                <w:sz w:val="20"/>
                <w:szCs w:val="20"/>
              </w:rPr>
            </w:pPr>
          </w:p>
        </w:tc>
        <w:tc>
          <w:tcPr>
            <w:tcW w:w="207" w:type="dxa"/>
            <w:tcBorders>
              <w:top w:val="nil"/>
              <w:left w:val="single" w:sz="4" w:space="0" w:color="auto"/>
              <w:bottom w:val="single" w:sz="4" w:space="0" w:color="auto"/>
              <w:right w:val="single" w:sz="4" w:space="0" w:color="auto"/>
            </w:tcBorders>
            <w:shd w:val="clear" w:color="auto" w:fill="auto"/>
            <w:noWrap/>
            <w:vAlign w:val="bottom"/>
            <w:hideMark/>
          </w:tcPr>
          <w:p w14:paraId="0890DB0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382EF80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7CEDFAA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auto" w:fill="auto"/>
            <w:noWrap/>
            <w:vAlign w:val="bottom"/>
            <w:hideMark/>
          </w:tcPr>
          <w:p w14:paraId="50B50DB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4CDCF34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000000" w:fill="A6A6A6"/>
            <w:noWrap/>
            <w:vAlign w:val="bottom"/>
            <w:hideMark/>
          </w:tcPr>
          <w:p w14:paraId="536E196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41D05A4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71235C6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749CF81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44E6835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5A4A6E1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746F148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6472FED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2AA6834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5107DF9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auto" w:fill="auto"/>
            <w:noWrap/>
            <w:vAlign w:val="bottom"/>
            <w:hideMark/>
          </w:tcPr>
          <w:p w14:paraId="361A5E2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23963472"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7381E80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Engage in world food day activities</w:t>
            </w:r>
          </w:p>
        </w:tc>
        <w:tc>
          <w:tcPr>
            <w:tcW w:w="161" w:type="dxa"/>
            <w:tcBorders>
              <w:top w:val="nil"/>
              <w:left w:val="nil"/>
              <w:bottom w:val="single" w:sz="4" w:space="0" w:color="auto"/>
              <w:right w:val="single" w:sz="4" w:space="0" w:color="auto"/>
            </w:tcBorders>
            <w:shd w:val="clear" w:color="auto" w:fill="auto"/>
            <w:noWrap/>
            <w:vAlign w:val="bottom"/>
            <w:hideMark/>
          </w:tcPr>
          <w:p w14:paraId="59B05F9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5E4F088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19070E7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3EC3BD6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7645289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56345BA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31AD64F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single" w:sz="4" w:space="0" w:color="auto"/>
              <w:left w:val="nil"/>
              <w:bottom w:val="single" w:sz="4" w:space="0" w:color="auto"/>
              <w:right w:val="single" w:sz="4" w:space="0" w:color="auto"/>
            </w:tcBorders>
            <w:shd w:val="clear" w:color="auto" w:fill="auto"/>
            <w:noWrap/>
            <w:vAlign w:val="bottom"/>
            <w:hideMark/>
          </w:tcPr>
          <w:p w14:paraId="6408551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2EB6288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1D3CB71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3D48486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auto" w:fill="auto"/>
            <w:noWrap/>
            <w:vAlign w:val="bottom"/>
            <w:hideMark/>
          </w:tcPr>
          <w:p w14:paraId="190EF5A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6DF2FE2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1E0C188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5114982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1E1EE09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219B16C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55C6089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294568F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66D7D3B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00E12DF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59ACBEC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531EFF8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auto" w:fill="auto"/>
            <w:noWrap/>
            <w:vAlign w:val="bottom"/>
            <w:hideMark/>
          </w:tcPr>
          <w:p w14:paraId="673CD3C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1A68371C"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5466AC2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Public engagement workshop</w:t>
            </w:r>
          </w:p>
        </w:tc>
        <w:tc>
          <w:tcPr>
            <w:tcW w:w="161" w:type="dxa"/>
            <w:tcBorders>
              <w:top w:val="nil"/>
              <w:left w:val="nil"/>
              <w:bottom w:val="single" w:sz="4" w:space="0" w:color="auto"/>
              <w:right w:val="single" w:sz="4" w:space="0" w:color="auto"/>
            </w:tcBorders>
            <w:shd w:val="clear" w:color="auto" w:fill="auto"/>
            <w:noWrap/>
            <w:vAlign w:val="bottom"/>
            <w:hideMark/>
          </w:tcPr>
          <w:p w14:paraId="01E6B9C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0B727CF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42319A0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03EEDE2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7DCCF34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3A9EC43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77DA338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08F832D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34C41A5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623304B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5A49F35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auto" w:fill="auto"/>
            <w:noWrap/>
            <w:vAlign w:val="bottom"/>
            <w:hideMark/>
          </w:tcPr>
          <w:p w14:paraId="620A512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40D78C7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2833DE5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68E64D4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66309A0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7191DF9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043AECD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639D817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2C7CD8B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4C92FBE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3DD6F72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7AD4876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auto" w:fill="auto"/>
            <w:noWrap/>
            <w:vAlign w:val="bottom"/>
            <w:hideMark/>
          </w:tcPr>
          <w:p w14:paraId="465A89E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749B1427"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2B16F3C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Market day</w:t>
            </w:r>
          </w:p>
        </w:tc>
        <w:tc>
          <w:tcPr>
            <w:tcW w:w="161" w:type="dxa"/>
            <w:tcBorders>
              <w:top w:val="nil"/>
              <w:left w:val="nil"/>
              <w:bottom w:val="single" w:sz="4" w:space="0" w:color="auto"/>
              <w:right w:val="single" w:sz="4" w:space="0" w:color="auto"/>
            </w:tcBorders>
            <w:shd w:val="clear" w:color="auto" w:fill="auto"/>
            <w:noWrap/>
            <w:vAlign w:val="bottom"/>
            <w:hideMark/>
          </w:tcPr>
          <w:p w14:paraId="2A92110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40A2F75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46F7328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145B075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03347BD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0F7F3FD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1FC1146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4D391A4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22B1BB4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1769A5E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4B0F2B7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auto" w:fill="auto"/>
            <w:noWrap/>
            <w:vAlign w:val="bottom"/>
            <w:hideMark/>
          </w:tcPr>
          <w:p w14:paraId="20047C0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6717110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7AF5166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2768631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6AAEAA9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49D3745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50240A3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11A9F36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3FEB41B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3F458D2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6A460D4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1C78486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auto" w:fill="auto"/>
            <w:noWrap/>
            <w:vAlign w:val="bottom"/>
            <w:hideMark/>
          </w:tcPr>
          <w:p w14:paraId="4D7DF7D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3D5A7E27"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7C611CD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Case study on actualization of the right to food in India</w:t>
            </w:r>
          </w:p>
        </w:tc>
        <w:tc>
          <w:tcPr>
            <w:tcW w:w="161" w:type="dxa"/>
            <w:tcBorders>
              <w:top w:val="nil"/>
              <w:left w:val="nil"/>
              <w:bottom w:val="single" w:sz="4" w:space="0" w:color="auto"/>
              <w:right w:val="single" w:sz="4" w:space="0" w:color="auto"/>
            </w:tcBorders>
            <w:shd w:val="clear" w:color="auto" w:fill="auto"/>
            <w:noWrap/>
            <w:vAlign w:val="bottom"/>
            <w:hideMark/>
          </w:tcPr>
          <w:p w14:paraId="349B797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4B9051C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7A9D2C6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7ABE779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77FDB60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5B3D78A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604B2CA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3EFC2E0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000000" w:fill="A6A6A6"/>
            <w:noWrap/>
            <w:vAlign w:val="bottom"/>
            <w:hideMark/>
          </w:tcPr>
          <w:p w14:paraId="6B7D861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498E4D9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000000" w:fill="A6A6A6"/>
            <w:noWrap/>
            <w:vAlign w:val="bottom"/>
            <w:hideMark/>
          </w:tcPr>
          <w:p w14:paraId="734371E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000000" w:fill="A6A6A6"/>
            <w:noWrap/>
            <w:vAlign w:val="bottom"/>
            <w:hideMark/>
          </w:tcPr>
          <w:p w14:paraId="7D75487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1768E06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000000" w:fill="A6A6A6"/>
            <w:noWrap/>
            <w:vAlign w:val="bottom"/>
            <w:hideMark/>
          </w:tcPr>
          <w:p w14:paraId="2D75C90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1AADE3D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1C098D5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357FEFD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0821C00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11D0EF7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177E712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000000" w:fill="A6A6A6"/>
            <w:noWrap/>
            <w:vAlign w:val="bottom"/>
            <w:hideMark/>
          </w:tcPr>
          <w:p w14:paraId="68C8D53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7BA8813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0A71D37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auto" w:fill="auto"/>
            <w:noWrap/>
            <w:vAlign w:val="bottom"/>
            <w:hideMark/>
          </w:tcPr>
          <w:p w14:paraId="4BCAC7A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418F7B2F" w14:textId="77777777" w:rsidTr="00DB46B9">
        <w:trPr>
          <w:trHeight w:val="270"/>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53A67D4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Visits (Participatory Cultures Lab, McGill University, India</w:t>
            </w:r>
          </w:p>
        </w:tc>
        <w:tc>
          <w:tcPr>
            <w:tcW w:w="161" w:type="dxa"/>
            <w:tcBorders>
              <w:top w:val="nil"/>
              <w:left w:val="nil"/>
              <w:bottom w:val="single" w:sz="4" w:space="0" w:color="auto"/>
              <w:right w:val="single" w:sz="4" w:space="0" w:color="auto"/>
            </w:tcBorders>
            <w:shd w:val="clear" w:color="auto" w:fill="auto"/>
            <w:noWrap/>
            <w:vAlign w:val="bottom"/>
            <w:hideMark/>
          </w:tcPr>
          <w:p w14:paraId="351FED5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24E134C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6EB311D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66BFFA2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6DECD26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314FCB2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5D30561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226313B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000000" w:fill="A6A6A6"/>
            <w:noWrap/>
            <w:vAlign w:val="bottom"/>
            <w:hideMark/>
          </w:tcPr>
          <w:p w14:paraId="4DF8DE4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5F7502F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000000" w:fill="A6A6A6"/>
            <w:noWrap/>
            <w:vAlign w:val="bottom"/>
            <w:hideMark/>
          </w:tcPr>
          <w:p w14:paraId="2700AE0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000000" w:fill="A6A6A6"/>
            <w:noWrap/>
            <w:vAlign w:val="bottom"/>
            <w:hideMark/>
          </w:tcPr>
          <w:p w14:paraId="60202D2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4D706A3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000000" w:fill="A6A6A6"/>
            <w:noWrap/>
            <w:vAlign w:val="bottom"/>
            <w:hideMark/>
          </w:tcPr>
          <w:p w14:paraId="6CA772E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6EF1021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2EE9AF9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5601936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15810A6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1278AA1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3A21452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000000" w:fill="A6A6A6"/>
            <w:noWrap/>
            <w:vAlign w:val="bottom"/>
            <w:hideMark/>
          </w:tcPr>
          <w:p w14:paraId="296720D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7462D37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000000" w:fill="A6A6A6"/>
            <w:noWrap/>
            <w:vAlign w:val="bottom"/>
            <w:hideMark/>
          </w:tcPr>
          <w:p w14:paraId="0E58028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000000" w:fill="A6A6A6"/>
            <w:noWrap/>
            <w:vAlign w:val="bottom"/>
            <w:hideMark/>
          </w:tcPr>
          <w:p w14:paraId="6166D89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66C4CDC2"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3875969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xml:space="preserve">Visit National Commission on Human Rights and Equality </w:t>
            </w:r>
          </w:p>
        </w:tc>
        <w:tc>
          <w:tcPr>
            <w:tcW w:w="161" w:type="dxa"/>
            <w:tcBorders>
              <w:top w:val="nil"/>
              <w:left w:val="nil"/>
              <w:bottom w:val="single" w:sz="4" w:space="0" w:color="auto"/>
              <w:right w:val="single" w:sz="4" w:space="0" w:color="auto"/>
            </w:tcBorders>
            <w:shd w:val="clear" w:color="auto" w:fill="auto"/>
            <w:noWrap/>
            <w:vAlign w:val="bottom"/>
            <w:hideMark/>
          </w:tcPr>
          <w:p w14:paraId="121FC50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67D655A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24A1367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57B3800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1C43254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56F99FA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416ED6D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54348B4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000000" w:fill="A6A6A6"/>
            <w:noWrap/>
            <w:vAlign w:val="bottom"/>
            <w:hideMark/>
          </w:tcPr>
          <w:p w14:paraId="7ED13F0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3C6C980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000000" w:fill="A6A6A6"/>
            <w:noWrap/>
            <w:vAlign w:val="bottom"/>
            <w:hideMark/>
          </w:tcPr>
          <w:p w14:paraId="2D1161A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000000" w:fill="A6A6A6"/>
            <w:noWrap/>
            <w:vAlign w:val="bottom"/>
            <w:hideMark/>
          </w:tcPr>
          <w:p w14:paraId="0EDCB324"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43D133A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000000" w:fill="A6A6A6"/>
            <w:noWrap/>
            <w:vAlign w:val="bottom"/>
            <w:hideMark/>
          </w:tcPr>
          <w:p w14:paraId="4BB6B99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3BFB041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27D7BFB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1AE2AA8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04B47E6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1B61A68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0C3D9D7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000000" w:fill="A6A6A6"/>
            <w:noWrap/>
            <w:vAlign w:val="bottom"/>
            <w:hideMark/>
          </w:tcPr>
          <w:p w14:paraId="32CDFE8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23AB1C6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000000" w:fill="A6A6A6"/>
            <w:noWrap/>
            <w:vAlign w:val="bottom"/>
            <w:hideMark/>
          </w:tcPr>
          <w:p w14:paraId="766E33B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000000" w:fill="A6A6A6"/>
            <w:noWrap/>
            <w:vAlign w:val="bottom"/>
            <w:hideMark/>
          </w:tcPr>
          <w:p w14:paraId="7CC32DE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0E995110" w14:textId="77777777" w:rsidTr="00DB46B9">
        <w:trPr>
          <w:trHeight w:val="255"/>
        </w:trPr>
        <w:tc>
          <w:tcPr>
            <w:tcW w:w="5020" w:type="dxa"/>
            <w:tcBorders>
              <w:top w:val="nil"/>
              <w:left w:val="single" w:sz="8" w:space="0" w:color="auto"/>
              <w:bottom w:val="single" w:sz="4" w:space="0" w:color="auto"/>
              <w:right w:val="single" w:sz="4" w:space="0" w:color="auto"/>
            </w:tcBorders>
            <w:shd w:val="clear" w:color="auto" w:fill="auto"/>
            <w:vAlign w:val="bottom"/>
            <w:hideMark/>
          </w:tcPr>
          <w:p w14:paraId="2716796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Engagement of stakeholders with results and learning</w:t>
            </w:r>
          </w:p>
        </w:tc>
        <w:tc>
          <w:tcPr>
            <w:tcW w:w="161" w:type="dxa"/>
            <w:tcBorders>
              <w:top w:val="nil"/>
              <w:left w:val="nil"/>
              <w:bottom w:val="single" w:sz="4" w:space="0" w:color="auto"/>
              <w:right w:val="single" w:sz="4" w:space="0" w:color="auto"/>
            </w:tcBorders>
            <w:shd w:val="clear" w:color="auto" w:fill="auto"/>
            <w:noWrap/>
            <w:vAlign w:val="bottom"/>
            <w:hideMark/>
          </w:tcPr>
          <w:p w14:paraId="243C037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auto" w:fill="auto"/>
            <w:noWrap/>
            <w:vAlign w:val="bottom"/>
            <w:hideMark/>
          </w:tcPr>
          <w:p w14:paraId="2D5CC12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5A6B7486"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676213B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auto" w:fill="auto"/>
            <w:noWrap/>
            <w:vAlign w:val="bottom"/>
            <w:hideMark/>
          </w:tcPr>
          <w:p w14:paraId="389B47E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3822E68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auto" w:fill="auto"/>
            <w:noWrap/>
            <w:vAlign w:val="bottom"/>
            <w:hideMark/>
          </w:tcPr>
          <w:p w14:paraId="2DF3837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auto" w:fill="auto"/>
            <w:noWrap/>
            <w:vAlign w:val="bottom"/>
            <w:hideMark/>
          </w:tcPr>
          <w:p w14:paraId="7206662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auto" w:fill="auto"/>
            <w:noWrap/>
            <w:vAlign w:val="bottom"/>
            <w:hideMark/>
          </w:tcPr>
          <w:p w14:paraId="7A8AF4A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auto" w:fill="auto"/>
            <w:noWrap/>
            <w:vAlign w:val="bottom"/>
            <w:hideMark/>
          </w:tcPr>
          <w:p w14:paraId="3FD7E9D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auto" w:fill="auto"/>
            <w:noWrap/>
            <w:vAlign w:val="bottom"/>
            <w:hideMark/>
          </w:tcPr>
          <w:p w14:paraId="59334BE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4" w:space="0" w:color="auto"/>
            </w:tcBorders>
            <w:shd w:val="clear" w:color="auto" w:fill="auto"/>
            <w:noWrap/>
            <w:vAlign w:val="bottom"/>
            <w:hideMark/>
          </w:tcPr>
          <w:p w14:paraId="1FF3B27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6313298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4" w:space="0" w:color="auto"/>
              <w:right w:val="single" w:sz="4" w:space="0" w:color="auto"/>
            </w:tcBorders>
            <w:shd w:val="clear" w:color="000000" w:fill="A6A6A6"/>
            <w:noWrap/>
            <w:vAlign w:val="bottom"/>
            <w:hideMark/>
          </w:tcPr>
          <w:p w14:paraId="712CB16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5A9F81D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34449D2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4" w:space="0" w:color="auto"/>
              <w:right w:val="single" w:sz="4" w:space="0" w:color="auto"/>
            </w:tcBorders>
            <w:shd w:val="clear" w:color="000000" w:fill="A6A6A6"/>
            <w:noWrap/>
            <w:vAlign w:val="bottom"/>
            <w:hideMark/>
          </w:tcPr>
          <w:p w14:paraId="474C98C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608F224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4" w:space="0" w:color="auto"/>
              <w:right w:val="single" w:sz="4" w:space="0" w:color="auto"/>
            </w:tcBorders>
            <w:shd w:val="clear" w:color="000000" w:fill="A6A6A6"/>
            <w:noWrap/>
            <w:vAlign w:val="bottom"/>
            <w:hideMark/>
          </w:tcPr>
          <w:p w14:paraId="6E22D8E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4" w:space="0" w:color="auto"/>
              <w:right w:val="single" w:sz="4" w:space="0" w:color="auto"/>
            </w:tcBorders>
            <w:shd w:val="clear" w:color="000000" w:fill="A6A6A6"/>
            <w:noWrap/>
            <w:vAlign w:val="bottom"/>
            <w:hideMark/>
          </w:tcPr>
          <w:p w14:paraId="49E8115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4" w:space="0" w:color="auto"/>
              <w:right w:val="single" w:sz="4" w:space="0" w:color="auto"/>
            </w:tcBorders>
            <w:shd w:val="clear" w:color="000000" w:fill="A6A6A6"/>
            <w:noWrap/>
            <w:vAlign w:val="bottom"/>
            <w:hideMark/>
          </w:tcPr>
          <w:p w14:paraId="66ED7D4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4" w:space="0" w:color="auto"/>
              <w:right w:val="single" w:sz="4" w:space="0" w:color="auto"/>
            </w:tcBorders>
            <w:shd w:val="clear" w:color="000000" w:fill="A6A6A6"/>
            <w:noWrap/>
            <w:vAlign w:val="bottom"/>
            <w:hideMark/>
          </w:tcPr>
          <w:p w14:paraId="3FEC351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4" w:space="0" w:color="auto"/>
              <w:right w:val="single" w:sz="4" w:space="0" w:color="auto"/>
            </w:tcBorders>
            <w:shd w:val="clear" w:color="000000" w:fill="A6A6A6"/>
            <w:noWrap/>
            <w:vAlign w:val="bottom"/>
            <w:hideMark/>
          </w:tcPr>
          <w:p w14:paraId="63BD3F1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4" w:space="0" w:color="auto"/>
              <w:right w:val="single" w:sz="8" w:space="0" w:color="auto"/>
            </w:tcBorders>
            <w:shd w:val="clear" w:color="000000" w:fill="A6A6A6"/>
            <w:noWrap/>
            <w:vAlign w:val="bottom"/>
            <w:hideMark/>
          </w:tcPr>
          <w:p w14:paraId="6E2B4F97"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r w:rsidR="00DB46B9" w:rsidRPr="00DB46B9" w14:paraId="10BEEF79" w14:textId="77777777" w:rsidTr="00DB46B9">
        <w:trPr>
          <w:trHeight w:val="270"/>
        </w:trPr>
        <w:tc>
          <w:tcPr>
            <w:tcW w:w="5020" w:type="dxa"/>
            <w:tcBorders>
              <w:top w:val="nil"/>
              <w:left w:val="single" w:sz="8" w:space="0" w:color="auto"/>
              <w:bottom w:val="single" w:sz="8" w:space="0" w:color="auto"/>
              <w:right w:val="single" w:sz="4" w:space="0" w:color="auto"/>
            </w:tcBorders>
            <w:shd w:val="clear" w:color="auto" w:fill="auto"/>
            <w:vAlign w:val="bottom"/>
            <w:hideMark/>
          </w:tcPr>
          <w:p w14:paraId="2AC79A5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Concepts on further PE work beyond the fellowship</w:t>
            </w:r>
          </w:p>
        </w:tc>
        <w:tc>
          <w:tcPr>
            <w:tcW w:w="161" w:type="dxa"/>
            <w:tcBorders>
              <w:top w:val="nil"/>
              <w:left w:val="nil"/>
              <w:bottom w:val="single" w:sz="8" w:space="0" w:color="auto"/>
              <w:right w:val="single" w:sz="4" w:space="0" w:color="auto"/>
            </w:tcBorders>
            <w:shd w:val="clear" w:color="auto" w:fill="auto"/>
            <w:noWrap/>
            <w:vAlign w:val="bottom"/>
            <w:hideMark/>
          </w:tcPr>
          <w:p w14:paraId="4679F3E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8" w:space="0" w:color="auto"/>
              <w:right w:val="single" w:sz="4" w:space="0" w:color="auto"/>
            </w:tcBorders>
            <w:shd w:val="clear" w:color="auto" w:fill="auto"/>
            <w:noWrap/>
            <w:vAlign w:val="bottom"/>
            <w:hideMark/>
          </w:tcPr>
          <w:p w14:paraId="4F8E79A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8" w:space="0" w:color="auto"/>
              <w:right w:val="single" w:sz="4" w:space="0" w:color="auto"/>
            </w:tcBorders>
            <w:shd w:val="clear" w:color="auto" w:fill="auto"/>
            <w:noWrap/>
            <w:vAlign w:val="bottom"/>
            <w:hideMark/>
          </w:tcPr>
          <w:p w14:paraId="27DEA163"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8" w:space="0" w:color="auto"/>
              <w:right w:val="single" w:sz="4" w:space="0" w:color="auto"/>
            </w:tcBorders>
            <w:shd w:val="clear" w:color="auto" w:fill="auto"/>
            <w:noWrap/>
            <w:vAlign w:val="bottom"/>
            <w:hideMark/>
          </w:tcPr>
          <w:p w14:paraId="22E22E0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8" w:space="0" w:color="auto"/>
              <w:right w:val="single" w:sz="4" w:space="0" w:color="auto"/>
            </w:tcBorders>
            <w:shd w:val="clear" w:color="auto" w:fill="auto"/>
            <w:noWrap/>
            <w:vAlign w:val="bottom"/>
            <w:hideMark/>
          </w:tcPr>
          <w:p w14:paraId="5A0BAA7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8" w:space="0" w:color="auto"/>
              <w:right w:val="single" w:sz="4" w:space="0" w:color="auto"/>
            </w:tcBorders>
            <w:shd w:val="clear" w:color="auto" w:fill="auto"/>
            <w:noWrap/>
            <w:vAlign w:val="bottom"/>
            <w:hideMark/>
          </w:tcPr>
          <w:p w14:paraId="0C966ED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8" w:space="0" w:color="auto"/>
              <w:right w:val="single" w:sz="4" w:space="0" w:color="auto"/>
            </w:tcBorders>
            <w:shd w:val="clear" w:color="auto" w:fill="auto"/>
            <w:noWrap/>
            <w:vAlign w:val="bottom"/>
            <w:hideMark/>
          </w:tcPr>
          <w:p w14:paraId="02280EDF"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8" w:space="0" w:color="auto"/>
              <w:right w:val="single" w:sz="4" w:space="0" w:color="auto"/>
            </w:tcBorders>
            <w:shd w:val="clear" w:color="auto" w:fill="auto"/>
            <w:noWrap/>
            <w:vAlign w:val="bottom"/>
            <w:hideMark/>
          </w:tcPr>
          <w:p w14:paraId="55CF3AC8"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8" w:space="0" w:color="auto"/>
              <w:right w:val="single" w:sz="4" w:space="0" w:color="auto"/>
            </w:tcBorders>
            <w:shd w:val="clear" w:color="auto" w:fill="auto"/>
            <w:noWrap/>
            <w:vAlign w:val="bottom"/>
            <w:hideMark/>
          </w:tcPr>
          <w:p w14:paraId="0A0EE639"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8" w:space="0" w:color="auto"/>
              <w:right w:val="single" w:sz="4" w:space="0" w:color="auto"/>
            </w:tcBorders>
            <w:shd w:val="clear" w:color="auto" w:fill="auto"/>
            <w:noWrap/>
            <w:vAlign w:val="bottom"/>
            <w:hideMark/>
          </w:tcPr>
          <w:p w14:paraId="78A2E1D5"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8" w:space="0" w:color="auto"/>
              <w:right w:val="single" w:sz="4" w:space="0" w:color="auto"/>
            </w:tcBorders>
            <w:shd w:val="clear" w:color="auto" w:fill="auto"/>
            <w:noWrap/>
            <w:vAlign w:val="bottom"/>
            <w:hideMark/>
          </w:tcPr>
          <w:p w14:paraId="1BBEB36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8" w:space="0" w:color="auto"/>
              <w:right w:val="single" w:sz="4" w:space="0" w:color="auto"/>
            </w:tcBorders>
            <w:shd w:val="clear" w:color="auto" w:fill="auto"/>
            <w:noWrap/>
            <w:vAlign w:val="bottom"/>
            <w:hideMark/>
          </w:tcPr>
          <w:p w14:paraId="7DF41B4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8" w:space="0" w:color="auto"/>
              <w:right w:val="single" w:sz="4" w:space="0" w:color="auto"/>
            </w:tcBorders>
            <w:shd w:val="clear" w:color="auto" w:fill="auto"/>
            <w:noWrap/>
            <w:vAlign w:val="bottom"/>
            <w:hideMark/>
          </w:tcPr>
          <w:p w14:paraId="18C65AFE"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2" w:type="dxa"/>
            <w:tcBorders>
              <w:top w:val="nil"/>
              <w:left w:val="nil"/>
              <w:bottom w:val="single" w:sz="8" w:space="0" w:color="auto"/>
              <w:right w:val="single" w:sz="4" w:space="0" w:color="auto"/>
            </w:tcBorders>
            <w:shd w:val="clear" w:color="auto" w:fill="auto"/>
            <w:noWrap/>
            <w:vAlign w:val="bottom"/>
            <w:hideMark/>
          </w:tcPr>
          <w:p w14:paraId="0C9D75C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8" w:space="0" w:color="auto"/>
              <w:right w:val="single" w:sz="4" w:space="0" w:color="auto"/>
            </w:tcBorders>
            <w:shd w:val="clear" w:color="auto" w:fill="auto"/>
            <w:noWrap/>
            <w:vAlign w:val="bottom"/>
            <w:hideMark/>
          </w:tcPr>
          <w:p w14:paraId="0FBB186D"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8" w:space="0" w:color="auto"/>
              <w:right w:val="single" w:sz="4" w:space="0" w:color="auto"/>
            </w:tcBorders>
            <w:shd w:val="clear" w:color="auto" w:fill="auto"/>
            <w:noWrap/>
            <w:vAlign w:val="bottom"/>
            <w:hideMark/>
          </w:tcPr>
          <w:p w14:paraId="17A4C0A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340" w:type="dxa"/>
            <w:tcBorders>
              <w:top w:val="nil"/>
              <w:left w:val="nil"/>
              <w:bottom w:val="single" w:sz="8" w:space="0" w:color="auto"/>
              <w:right w:val="single" w:sz="4" w:space="0" w:color="auto"/>
            </w:tcBorders>
            <w:shd w:val="clear" w:color="auto" w:fill="auto"/>
            <w:noWrap/>
            <w:vAlign w:val="bottom"/>
            <w:hideMark/>
          </w:tcPr>
          <w:p w14:paraId="267E885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8" w:space="0" w:color="auto"/>
              <w:right w:val="single" w:sz="4" w:space="0" w:color="auto"/>
            </w:tcBorders>
            <w:shd w:val="clear" w:color="auto" w:fill="auto"/>
            <w:noWrap/>
            <w:vAlign w:val="bottom"/>
            <w:hideMark/>
          </w:tcPr>
          <w:p w14:paraId="5F41B072"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161" w:type="dxa"/>
            <w:tcBorders>
              <w:top w:val="nil"/>
              <w:left w:val="nil"/>
              <w:bottom w:val="single" w:sz="8" w:space="0" w:color="auto"/>
              <w:right w:val="single" w:sz="4" w:space="0" w:color="auto"/>
            </w:tcBorders>
            <w:shd w:val="clear" w:color="auto" w:fill="auto"/>
            <w:noWrap/>
            <w:vAlign w:val="bottom"/>
            <w:hideMark/>
          </w:tcPr>
          <w:p w14:paraId="761AF7C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52" w:type="dxa"/>
            <w:tcBorders>
              <w:top w:val="nil"/>
              <w:left w:val="nil"/>
              <w:bottom w:val="single" w:sz="8" w:space="0" w:color="auto"/>
              <w:right w:val="single" w:sz="4" w:space="0" w:color="auto"/>
            </w:tcBorders>
            <w:shd w:val="clear" w:color="auto" w:fill="auto"/>
            <w:noWrap/>
            <w:vAlign w:val="bottom"/>
            <w:hideMark/>
          </w:tcPr>
          <w:p w14:paraId="039F8800"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07" w:type="dxa"/>
            <w:tcBorders>
              <w:top w:val="nil"/>
              <w:left w:val="nil"/>
              <w:bottom w:val="single" w:sz="8" w:space="0" w:color="auto"/>
              <w:right w:val="single" w:sz="4" w:space="0" w:color="auto"/>
            </w:tcBorders>
            <w:shd w:val="clear" w:color="auto" w:fill="auto"/>
            <w:noWrap/>
            <w:vAlign w:val="bottom"/>
            <w:hideMark/>
          </w:tcPr>
          <w:p w14:paraId="1A31163C"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75" w:type="dxa"/>
            <w:tcBorders>
              <w:top w:val="nil"/>
              <w:left w:val="nil"/>
              <w:bottom w:val="single" w:sz="8" w:space="0" w:color="auto"/>
              <w:right w:val="single" w:sz="4" w:space="0" w:color="auto"/>
            </w:tcBorders>
            <w:shd w:val="clear" w:color="auto" w:fill="auto"/>
            <w:noWrap/>
            <w:vAlign w:val="bottom"/>
            <w:hideMark/>
          </w:tcPr>
          <w:p w14:paraId="682EB20B"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9" w:type="dxa"/>
            <w:tcBorders>
              <w:top w:val="nil"/>
              <w:left w:val="nil"/>
              <w:bottom w:val="single" w:sz="8" w:space="0" w:color="auto"/>
              <w:right w:val="single" w:sz="4" w:space="0" w:color="auto"/>
            </w:tcBorders>
            <w:shd w:val="clear" w:color="000000" w:fill="A6A6A6"/>
            <w:noWrap/>
            <w:vAlign w:val="bottom"/>
            <w:hideMark/>
          </w:tcPr>
          <w:p w14:paraId="62713D51"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c>
          <w:tcPr>
            <w:tcW w:w="260" w:type="dxa"/>
            <w:tcBorders>
              <w:top w:val="nil"/>
              <w:left w:val="nil"/>
              <w:bottom w:val="single" w:sz="8" w:space="0" w:color="auto"/>
              <w:right w:val="single" w:sz="8" w:space="0" w:color="auto"/>
            </w:tcBorders>
            <w:shd w:val="clear" w:color="000000" w:fill="A6A6A6"/>
            <w:noWrap/>
            <w:vAlign w:val="bottom"/>
            <w:hideMark/>
          </w:tcPr>
          <w:p w14:paraId="2D4A26CA" w14:textId="77777777" w:rsidR="00DB46B9" w:rsidRPr="00DB46B9" w:rsidRDefault="00DB46B9" w:rsidP="00DB46B9">
            <w:pPr>
              <w:spacing w:after="0" w:line="240" w:lineRule="auto"/>
              <w:rPr>
                <w:rFonts w:eastAsia="Times New Roman"/>
                <w:color w:val="000000"/>
                <w:sz w:val="20"/>
                <w:szCs w:val="20"/>
              </w:rPr>
            </w:pPr>
            <w:r w:rsidRPr="00DB46B9">
              <w:rPr>
                <w:rFonts w:eastAsia="Times New Roman"/>
                <w:color w:val="000000"/>
                <w:sz w:val="20"/>
                <w:szCs w:val="20"/>
              </w:rPr>
              <w:t> </w:t>
            </w:r>
          </w:p>
        </w:tc>
      </w:tr>
    </w:tbl>
    <w:p w14:paraId="3A79B713" w14:textId="77777777" w:rsidR="00DB46B9" w:rsidRDefault="00DB46B9">
      <w:pPr>
        <w:pStyle w:val="Heading1"/>
        <w:spacing w:line="360" w:lineRule="auto"/>
        <w:jc w:val="both"/>
        <w:rPr>
          <w:rFonts w:ascii="Times New Roman" w:eastAsia="Times New Roman" w:hAnsi="Times New Roman" w:cs="Times New Roman"/>
          <w:b/>
          <w:sz w:val="24"/>
          <w:szCs w:val="24"/>
        </w:rPr>
      </w:pPr>
    </w:p>
    <w:p w14:paraId="4046A847" w14:textId="77777777" w:rsidR="00CC7D76" w:rsidRDefault="003547EE">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Summary budget </w:t>
      </w:r>
    </w:p>
    <w:p w14:paraId="473E5107" w14:textId="77777777" w:rsidR="00115AF0" w:rsidRDefault="00115AF0" w:rsidP="00115AF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Basic Salary $121,582</w:t>
      </w:r>
    </w:p>
    <w:p w14:paraId="097CA378" w14:textId="3CB75C60" w:rsidR="00FA66FD" w:rsidRPr="00FA66FD" w:rsidRDefault="00FA66FD" w:rsidP="00115AF0">
      <w:pPr>
        <w:spacing w:line="240" w:lineRule="auto"/>
        <w:jc w:val="both"/>
        <w:rPr>
          <w:rFonts w:ascii="Times New Roman" w:eastAsia="Times New Roman" w:hAnsi="Times New Roman" w:cs="Times New Roman"/>
          <w:sz w:val="24"/>
          <w:szCs w:val="24"/>
        </w:rPr>
      </w:pPr>
      <w:r w:rsidRPr="00FA66FD">
        <w:rPr>
          <w:rFonts w:ascii="Times New Roman" w:eastAsia="Times New Roman" w:hAnsi="Times New Roman" w:cs="Times New Roman"/>
          <w:sz w:val="24"/>
          <w:szCs w:val="24"/>
        </w:rPr>
        <w:t>Travel and subsistence $38,969</w:t>
      </w:r>
    </w:p>
    <w:p w14:paraId="0D97E6E6" w14:textId="77777777" w:rsidR="00FA66FD" w:rsidRPr="00FA66FD" w:rsidRDefault="00FA66FD" w:rsidP="00115AF0">
      <w:pPr>
        <w:spacing w:line="240" w:lineRule="auto"/>
        <w:jc w:val="both"/>
        <w:rPr>
          <w:rFonts w:ascii="Times New Roman" w:eastAsia="Times New Roman" w:hAnsi="Times New Roman" w:cs="Times New Roman"/>
          <w:sz w:val="24"/>
          <w:szCs w:val="24"/>
        </w:rPr>
      </w:pPr>
      <w:r w:rsidRPr="00FA66FD">
        <w:rPr>
          <w:rFonts w:ascii="Times New Roman" w:eastAsia="Times New Roman" w:hAnsi="Times New Roman" w:cs="Times New Roman"/>
          <w:sz w:val="24"/>
          <w:szCs w:val="24"/>
        </w:rPr>
        <w:t>Total Project Costs $67,600</w:t>
      </w:r>
    </w:p>
    <w:p w14:paraId="1781B0CB" w14:textId="77777777" w:rsidR="00FA66FD" w:rsidRPr="00FA66FD" w:rsidRDefault="00FA66FD" w:rsidP="00115AF0">
      <w:pPr>
        <w:spacing w:line="240" w:lineRule="auto"/>
        <w:jc w:val="both"/>
        <w:rPr>
          <w:rFonts w:ascii="Times New Roman" w:eastAsia="Times New Roman" w:hAnsi="Times New Roman" w:cs="Times New Roman"/>
          <w:sz w:val="24"/>
          <w:szCs w:val="24"/>
        </w:rPr>
      </w:pPr>
      <w:r w:rsidRPr="00FA66FD">
        <w:rPr>
          <w:rFonts w:ascii="Times New Roman" w:eastAsia="Times New Roman" w:hAnsi="Times New Roman" w:cs="Times New Roman"/>
          <w:sz w:val="24"/>
          <w:szCs w:val="24"/>
        </w:rPr>
        <w:t>Overheads $35,090</w:t>
      </w:r>
    </w:p>
    <w:p w14:paraId="656807CD" w14:textId="77777777" w:rsidR="00FA66FD" w:rsidRPr="00FA66FD" w:rsidRDefault="00FA66FD" w:rsidP="00115AF0">
      <w:pPr>
        <w:spacing w:line="240" w:lineRule="auto"/>
        <w:jc w:val="both"/>
        <w:rPr>
          <w:rFonts w:ascii="Times New Roman" w:eastAsia="Times New Roman" w:hAnsi="Times New Roman" w:cs="Times New Roman"/>
          <w:sz w:val="24"/>
          <w:szCs w:val="24"/>
        </w:rPr>
      </w:pPr>
      <w:r w:rsidRPr="00FA66FD">
        <w:rPr>
          <w:rFonts w:ascii="Times New Roman" w:eastAsia="Times New Roman" w:hAnsi="Times New Roman" w:cs="Times New Roman"/>
          <w:sz w:val="24"/>
          <w:szCs w:val="24"/>
        </w:rPr>
        <w:t>Inflation (0.8 of costs - not including overheads - across 2 years) $1,825</w:t>
      </w:r>
    </w:p>
    <w:p w14:paraId="69FC8907" w14:textId="63003C2E" w:rsidR="00CC7D76" w:rsidRDefault="00FA66FD" w:rsidP="00115AF0">
      <w:pPr>
        <w:spacing w:line="240" w:lineRule="auto"/>
        <w:jc w:val="both"/>
        <w:rPr>
          <w:rFonts w:ascii="Times New Roman" w:eastAsia="Times New Roman" w:hAnsi="Times New Roman" w:cs="Times New Roman"/>
          <w:sz w:val="24"/>
          <w:szCs w:val="24"/>
        </w:rPr>
      </w:pPr>
      <w:r w:rsidRPr="00FA66FD">
        <w:rPr>
          <w:rFonts w:ascii="Times New Roman" w:eastAsia="Times New Roman" w:hAnsi="Times New Roman" w:cs="Times New Roman"/>
          <w:sz w:val="24"/>
          <w:szCs w:val="24"/>
        </w:rPr>
        <w:t>Grand Total $265,066</w:t>
      </w:r>
    </w:p>
    <w:p w14:paraId="32DB7B81" w14:textId="77777777" w:rsidR="00115AF0" w:rsidRDefault="00115AF0">
      <w:pPr>
        <w:pStyle w:val="Heading2"/>
        <w:spacing w:line="360" w:lineRule="auto"/>
        <w:jc w:val="both"/>
        <w:rPr>
          <w:rFonts w:ascii="Times New Roman" w:eastAsia="Times New Roman" w:hAnsi="Times New Roman" w:cs="Times New Roman"/>
          <w:b/>
          <w:sz w:val="24"/>
          <w:szCs w:val="24"/>
        </w:rPr>
      </w:pPr>
      <w:bookmarkStart w:id="3" w:name="_1fob9te" w:colFirst="0" w:colLast="0"/>
      <w:bookmarkEnd w:id="3"/>
    </w:p>
    <w:p w14:paraId="650BEA44" w14:textId="77777777" w:rsidR="00CC7D76" w:rsidRDefault="003547EE">
      <w:pPr>
        <w:pStyle w:val="Heading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References </w:t>
      </w:r>
    </w:p>
    <w:p w14:paraId="15270EA5"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t xml:space="preserve">FAO. </w:t>
      </w:r>
      <w:r>
        <w:rPr>
          <w:rFonts w:ascii="Times New Roman" w:eastAsia="Times New Roman" w:hAnsi="Times New Roman" w:cs="Times New Roman"/>
          <w:i/>
          <w:sz w:val="24"/>
          <w:szCs w:val="24"/>
        </w:rPr>
        <w:t>Voluntary guidelines to support the progressive realization of the right to adequate food in the context of national food security, adopted by the 127th Session of the FAO Council, November 2004.</w:t>
      </w:r>
      <w:r>
        <w:rPr>
          <w:rFonts w:ascii="Times New Roman" w:eastAsia="Times New Roman" w:hAnsi="Times New Roman" w:cs="Times New Roman"/>
          <w:sz w:val="24"/>
          <w:szCs w:val="24"/>
        </w:rPr>
        <w:t xml:space="preserve"> (Food and Agriculture Organization of the United Nations, 2005).</w:t>
      </w:r>
    </w:p>
    <w:p w14:paraId="16697E8D"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 xml:space="preserve">The Committee on Economic, S. and C. R. </w:t>
      </w:r>
      <w:r>
        <w:rPr>
          <w:rFonts w:ascii="Times New Roman" w:eastAsia="Times New Roman" w:hAnsi="Times New Roman" w:cs="Times New Roman"/>
          <w:i/>
          <w:sz w:val="24"/>
          <w:szCs w:val="24"/>
        </w:rPr>
        <w:t>Fact Sheet No.16 (Rev.1), The Committee on Economic, Social and Cultural Rights</w:t>
      </w:r>
      <w:r>
        <w:rPr>
          <w:rFonts w:ascii="Times New Roman" w:eastAsia="Times New Roman" w:hAnsi="Times New Roman" w:cs="Times New Roman"/>
          <w:sz w:val="24"/>
          <w:szCs w:val="24"/>
        </w:rPr>
        <w:t>. (1993).</w:t>
      </w:r>
    </w:p>
    <w:p w14:paraId="682899F2"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rPr>
        <w:tab/>
        <w:t xml:space="preserve">United Nations. </w:t>
      </w:r>
      <w:r>
        <w:rPr>
          <w:rFonts w:ascii="Times New Roman" w:eastAsia="Times New Roman" w:hAnsi="Times New Roman" w:cs="Times New Roman"/>
          <w:i/>
          <w:sz w:val="24"/>
          <w:szCs w:val="24"/>
        </w:rPr>
        <w:t>International Covenant on Civil and Political Rights</w:t>
      </w:r>
      <w:r>
        <w:rPr>
          <w:rFonts w:ascii="Times New Roman" w:eastAsia="Times New Roman" w:hAnsi="Times New Roman" w:cs="Times New Roman"/>
          <w:sz w:val="24"/>
          <w:szCs w:val="24"/>
        </w:rPr>
        <w:t>. (1966).</w:t>
      </w:r>
    </w:p>
    <w:p w14:paraId="78A6D7FD"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rPr>
        <w:tab/>
        <w:t>WFP. The State of Food Security and Nutrition in the World (SOFI) Report. (2017). Available at: https://www.wfp.org/content/2017-state-food-security-and-nutrition-world-sofi-report. (Accessed: 28th February 2018)</w:t>
      </w:r>
    </w:p>
    <w:p w14:paraId="33B90783"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rPr>
        <w:tab/>
        <w:t xml:space="preserve">Kimani-Murage, 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Vulnerability to food insecurity in urban slums: experiences from Nairobi, Kenya. </w:t>
      </w:r>
      <w:r>
        <w:rPr>
          <w:rFonts w:ascii="Times New Roman" w:eastAsia="Times New Roman" w:hAnsi="Times New Roman" w:cs="Times New Roman"/>
          <w:i/>
          <w:sz w:val="24"/>
          <w:szCs w:val="24"/>
        </w:rPr>
        <w:t>J. Urban Heal.</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91,</w:t>
      </w:r>
      <w:r>
        <w:rPr>
          <w:rFonts w:ascii="Times New Roman" w:eastAsia="Times New Roman" w:hAnsi="Times New Roman" w:cs="Times New Roman"/>
          <w:sz w:val="24"/>
          <w:szCs w:val="24"/>
        </w:rPr>
        <w:t xml:space="preserve"> 1098–1113 (2014).</w:t>
      </w:r>
    </w:p>
    <w:p w14:paraId="5C61F724"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rPr>
        <w:tab/>
        <w:t xml:space="preserve">Kimani-Murage, 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Evidence of a Double Burden of Malnutrition in Urban Poor Settings in Nairobi, Kenya. </w:t>
      </w:r>
      <w:r>
        <w:rPr>
          <w:rFonts w:ascii="Times New Roman" w:eastAsia="Times New Roman" w:hAnsi="Times New Roman" w:cs="Times New Roman"/>
          <w:i/>
          <w:sz w:val="24"/>
          <w:szCs w:val="24"/>
        </w:rPr>
        <w:t>PLoS One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10,</w:t>
      </w:r>
      <w:r>
        <w:rPr>
          <w:rFonts w:ascii="Times New Roman" w:eastAsia="Times New Roman" w:hAnsi="Times New Roman" w:cs="Times New Roman"/>
          <w:sz w:val="24"/>
          <w:szCs w:val="24"/>
        </w:rPr>
        <w:t xml:space="preserve"> (2015).</w:t>
      </w:r>
    </w:p>
    <w:p w14:paraId="35531604"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Pr>
          <w:rFonts w:ascii="Times New Roman" w:eastAsia="Times New Roman" w:hAnsi="Times New Roman" w:cs="Times New Roman"/>
          <w:sz w:val="24"/>
          <w:szCs w:val="24"/>
        </w:rPr>
        <w:tab/>
        <w:t xml:space="preserve">FAO, WFP &amp; IFAD. </w:t>
      </w:r>
      <w:r>
        <w:rPr>
          <w:rFonts w:ascii="Times New Roman" w:eastAsia="Times New Roman" w:hAnsi="Times New Roman" w:cs="Times New Roman"/>
          <w:i/>
          <w:sz w:val="24"/>
          <w:szCs w:val="24"/>
        </w:rPr>
        <w:t>The State of Food Insecurity in the World</w:t>
      </w:r>
      <w:r>
        <w:rPr>
          <w:rFonts w:ascii="Times New Roman" w:eastAsia="Times New Roman" w:hAnsi="Times New Roman" w:cs="Times New Roman"/>
          <w:sz w:val="24"/>
          <w:szCs w:val="24"/>
        </w:rPr>
        <w:t>. (2012).</w:t>
      </w:r>
    </w:p>
    <w:p w14:paraId="4F806D8C"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Pr>
          <w:rFonts w:ascii="Times New Roman" w:eastAsia="Times New Roman" w:hAnsi="Times New Roman" w:cs="Times New Roman"/>
          <w:sz w:val="24"/>
          <w:szCs w:val="24"/>
        </w:rPr>
        <w:tab/>
        <w:t xml:space="preserve">Agricultural Sector Coordination Unit (ASCU). </w:t>
      </w:r>
      <w:r>
        <w:rPr>
          <w:rFonts w:ascii="Times New Roman" w:eastAsia="Times New Roman" w:hAnsi="Times New Roman" w:cs="Times New Roman"/>
          <w:i/>
          <w:sz w:val="24"/>
          <w:szCs w:val="24"/>
        </w:rPr>
        <w:t>National Food and Nutrition security policy</w:t>
      </w:r>
      <w:r>
        <w:rPr>
          <w:rFonts w:ascii="Times New Roman" w:eastAsia="Times New Roman" w:hAnsi="Times New Roman" w:cs="Times New Roman"/>
          <w:sz w:val="24"/>
          <w:szCs w:val="24"/>
        </w:rPr>
        <w:t>. (Agricultural Sector Coordination Unit (ASCU), 2011).</w:t>
      </w:r>
    </w:p>
    <w:p w14:paraId="0CF76263"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Pr>
          <w:rFonts w:ascii="Times New Roman" w:eastAsia="Times New Roman" w:hAnsi="Times New Roman" w:cs="Times New Roman"/>
          <w:sz w:val="24"/>
          <w:szCs w:val="24"/>
        </w:rPr>
        <w:tab/>
        <w:t xml:space="preserve">Faye, O., Baschieri, A., Falkingham, J. &amp; Muindi, K. Hunger and food insecurity in Nairobi’s slums: an assessment using IRT models. </w:t>
      </w:r>
      <w:r>
        <w:rPr>
          <w:rFonts w:ascii="Times New Roman" w:eastAsia="Times New Roman" w:hAnsi="Times New Roman" w:cs="Times New Roman"/>
          <w:i/>
          <w:sz w:val="24"/>
          <w:szCs w:val="24"/>
        </w:rPr>
        <w:t>J. Urban Heal.</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88,</w:t>
      </w:r>
      <w:r>
        <w:rPr>
          <w:rFonts w:ascii="Times New Roman" w:eastAsia="Times New Roman" w:hAnsi="Times New Roman" w:cs="Times New Roman"/>
          <w:sz w:val="24"/>
          <w:szCs w:val="24"/>
        </w:rPr>
        <w:t xml:space="preserve"> 235–255 (2011).</w:t>
      </w:r>
    </w:p>
    <w:p w14:paraId="0986313B"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Pr>
          <w:rFonts w:ascii="Times New Roman" w:eastAsia="Times New Roman" w:hAnsi="Times New Roman" w:cs="Times New Roman"/>
          <w:sz w:val="24"/>
          <w:szCs w:val="24"/>
        </w:rPr>
        <w:tab/>
        <w:t>United Nations Standing Committee on Nutrition. United Nations Standing Committee on Nutrition (SACN) (2010) Sixth report on the world nutrition situation: Progress in nutrition. (2010).</w:t>
      </w:r>
    </w:p>
    <w:p w14:paraId="7C1B5FEC"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National Bureau of Statistics-Kenya &amp; ICF International. 2014 KDHS Key Findings. (2015).</w:t>
      </w:r>
    </w:p>
    <w:p w14:paraId="413BE97B"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Pr>
          <w:rFonts w:ascii="Times New Roman" w:eastAsia="Times New Roman" w:hAnsi="Times New Roman" w:cs="Times New Roman"/>
          <w:sz w:val="24"/>
          <w:szCs w:val="24"/>
        </w:rPr>
        <w:tab/>
        <w:t xml:space="preserve">Olack, B.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Nutritional status of under-five children living in an informal urban settlement in Nairobi, Kenya. </w:t>
      </w:r>
      <w:r>
        <w:rPr>
          <w:rFonts w:ascii="Times New Roman" w:eastAsia="Times New Roman" w:hAnsi="Times New Roman" w:cs="Times New Roman"/>
          <w:i/>
          <w:sz w:val="24"/>
          <w:szCs w:val="24"/>
        </w:rPr>
        <w:t>J. Health. Popul. Nutr.</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29,</w:t>
      </w:r>
      <w:r>
        <w:rPr>
          <w:rFonts w:ascii="Times New Roman" w:eastAsia="Times New Roman" w:hAnsi="Times New Roman" w:cs="Times New Roman"/>
          <w:sz w:val="24"/>
          <w:szCs w:val="24"/>
        </w:rPr>
        <w:t xml:space="preserve"> 357 (2011).</w:t>
      </w:r>
    </w:p>
    <w:p w14:paraId="3278DA31"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r>
        <w:rPr>
          <w:rFonts w:ascii="Times New Roman" w:eastAsia="Times New Roman" w:hAnsi="Times New Roman" w:cs="Times New Roman"/>
          <w:sz w:val="24"/>
          <w:szCs w:val="24"/>
        </w:rPr>
        <w:tab/>
        <w:t xml:space="preserve">Kimani-Murage, 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Patterns and determinants of breastfeeding and complementary feeding practices in urban informal settlements, Nairobi Kenya. </w:t>
      </w:r>
      <w:r>
        <w:rPr>
          <w:rFonts w:ascii="Times New Roman" w:eastAsia="Times New Roman" w:hAnsi="Times New Roman" w:cs="Times New Roman"/>
          <w:i/>
          <w:sz w:val="24"/>
          <w:szCs w:val="24"/>
        </w:rPr>
        <w:t>BMC Public Health</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11,</w:t>
      </w:r>
      <w:r>
        <w:rPr>
          <w:rFonts w:ascii="Times New Roman" w:eastAsia="Times New Roman" w:hAnsi="Times New Roman" w:cs="Times New Roman"/>
          <w:sz w:val="24"/>
          <w:szCs w:val="24"/>
        </w:rPr>
        <w:t xml:space="preserve"> 396 (2011).</w:t>
      </w:r>
    </w:p>
    <w:p w14:paraId="615760B7"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Pr>
          <w:rFonts w:ascii="Times New Roman" w:eastAsia="Times New Roman" w:hAnsi="Times New Roman" w:cs="Times New Roman"/>
          <w:sz w:val="24"/>
          <w:szCs w:val="24"/>
        </w:rPr>
        <w:tab/>
        <w:t xml:space="preserve">Kimani‐Murage, E. &amp; Wekesah, F. Factors affecting actualisation of the WHO breastfeeding recommendations in urban poor settings in Kenya. </w:t>
      </w:r>
      <w:r>
        <w:rPr>
          <w:rFonts w:ascii="Times New Roman" w:eastAsia="Times New Roman" w:hAnsi="Times New Roman" w:cs="Times New Roman"/>
          <w:i/>
          <w:sz w:val="24"/>
          <w:szCs w:val="24"/>
        </w:rPr>
        <w:t>Matern. child</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11,</w:t>
      </w:r>
      <w:r>
        <w:rPr>
          <w:rFonts w:ascii="Times New Roman" w:eastAsia="Times New Roman" w:hAnsi="Times New Roman" w:cs="Times New Roman"/>
          <w:sz w:val="24"/>
          <w:szCs w:val="24"/>
        </w:rPr>
        <w:t xml:space="preserve"> 314–332 (2015).</w:t>
      </w:r>
    </w:p>
    <w:p w14:paraId="7026414B"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r>
        <w:rPr>
          <w:rFonts w:ascii="Times New Roman" w:eastAsia="Times New Roman" w:hAnsi="Times New Roman" w:cs="Times New Roman"/>
          <w:sz w:val="24"/>
          <w:szCs w:val="24"/>
        </w:rPr>
        <w:tab/>
        <w:t xml:space="preserve">Wanjohi, 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Sociocultural factors influencing breastfeeding practices in two slums in Nairobi, Kenya. </w:t>
      </w:r>
      <w:r>
        <w:rPr>
          <w:rFonts w:ascii="Times New Roman" w:eastAsia="Times New Roman" w:hAnsi="Times New Roman" w:cs="Times New Roman"/>
          <w:i/>
          <w:sz w:val="24"/>
          <w:szCs w:val="24"/>
        </w:rPr>
        <w:t>Int. Breastfeed. J.</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12,</w:t>
      </w:r>
      <w:r>
        <w:rPr>
          <w:rFonts w:ascii="Times New Roman" w:eastAsia="Times New Roman" w:hAnsi="Times New Roman" w:cs="Times New Roman"/>
          <w:sz w:val="24"/>
          <w:szCs w:val="24"/>
        </w:rPr>
        <w:t xml:space="preserve"> 5 (2016).</w:t>
      </w:r>
    </w:p>
    <w:p w14:paraId="06A3BAE8"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r>
        <w:rPr>
          <w:rFonts w:ascii="Times New Roman" w:eastAsia="Times New Roman" w:hAnsi="Times New Roman" w:cs="Times New Roman"/>
          <w:sz w:val="24"/>
          <w:szCs w:val="24"/>
        </w:rPr>
        <w:tab/>
        <w:t>Trading Economics. Kenya Food Inflation; 2010-2018. (2018). Available at: https://tradingeconomics.com/kenya/food-inflation. (Accessed: 22nd March 2018)</w:t>
      </w:r>
    </w:p>
    <w:p w14:paraId="5246160B"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r>
        <w:rPr>
          <w:rFonts w:ascii="Times New Roman" w:eastAsia="Times New Roman" w:hAnsi="Times New Roman" w:cs="Times New Roman"/>
          <w:sz w:val="24"/>
          <w:szCs w:val="24"/>
        </w:rPr>
        <w:tab/>
        <w:t xml:space="preserve">United Nations. </w:t>
      </w:r>
      <w:r>
        <w:rPr>
          <w:rFonts w:ascii="Times New Roman" w:eastAsia="Times New Roman" w:hAnsi="Times New Roman" w:cs="Times New Roman"/>
          <w:i/>
          <w:sz w:val="24"/>
          <w:szCs w:val="24"/>
        </w:rPr>
        <w:t>Universal Declaration of Human Rights</w:t>
      </w:r>
      <w:r>
        <w:rPr>
          <w:rFonts w:ascii="Times New Roman" w:eastAsia="Times New Roman" w:hAnsi="Times New Roman" w:cs="Times New Roman"/>
          <w:sz w:val="24"/>
          <w:szCs w:val="24"/>
        </w:rPr>
        <w:t>. (1948).</w:t>
      </w:r>
    </w:p>
    <w:p w14:paraId="65C893F0"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r>
        <w:rPr>
          <w:rFonts w:ascii="Times New Roman" w:eastAsia="Times New Roman" w:hAnsi="Times New Roman" w:cs="Times New Roman"/>
          <w:sz w:val="24"/>
          <w:szCs w:val="24"/>
        </w:rPr>
        <w:tab/>
        <w:t>United Nations. International Covenant on Economic, Social and Cultural Rights. (1976). Available at: http://www.ohchr.org/EN/ProfessionalInterest/Pages/CESCR.aspx. (Accessed: 31st May 2018)</w:t>
      </w:r>
    </w:p>
    <w:p w14:paraId="5AE04643"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Pr>
          <w:rFonts w:ascii="Times New Roman" w:eastAsia="Times New Roman" w:hAnsi="Times New Roman" w:cs="Times New Roman"/>
          <w:sz w:val="24"/>
          <w:szCs w:val="24"/>
        </w:rPr>
        <w:tab/>
        <w:t xml:space="preserve">United Nations. </w:t>
      </w:r>
      <w:r>
        <w:rPr>
          <w:rFonts w:ascii="Times New Roman" w:eastAsia="Times New Roman" w:hAnsi="Times New Roman" w:cs="Times New Roman"/>
          <w:i/>
          <w:sz w:val="24"/>
          <w:szCs w:val="24"/>
        </w:rPr>
        <w:t>Convention on the Elimination of All Forms of Discrimination against Women</w:t>
      </w:r>
      <w:r>
        <w:rPr>
          <w:rFonts w:ascii="Times New Roman" w:eastAsia="Times New Roman" w:hAnsi="Times New Roman" w:cs="Times New Roman"/>
          <w:sz w:val="24"/>
          <w:szCs w:val="24"/>
        </w:rPr>
        <w:t>. (1981).</w:t>
      </w:r>
    </w:p>
    <w:p w14:paraId="68F45DA4"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Pr>
          <w:rFonts w:ascii="Times New Roman" w:eastAsia="Times New Roman" w:hAnsi="Times New Roman" w:cs="Times New Roman"/>
          <w:sz w:val="24"/>
          <w:szCs w:val="24"/>
        </w:rPr>
        <w:tab/>
        <w:t xml:space="preserve">United Nations. </w:t>
      </w:r>
      <w:r>
        <w:rPr>
          <w:rFonts w:ascii="Times New Roman" w:eastAsia="Times New Roman" w:hAnsi="Times New Roman" w:cs="Times New Roman"/>
          <w:i/>
          <w:sz w:val="24"/>
          <w:szCs w:val="24"/>
        </w:rPr>
        <w:t>Convention on the Rights of the Child</w:t>
      </w:r>
      <w:r>
        <w:rPr>
          <w:rFonts w:ascii="Times New Roman" w:eastAsia="Times New Roman" w:hAnsi="Times New Roman" w:cs="Times New Roman"/>
          <w:sz w:val="24"/>
          <w:szCs w:val="24"/>
        </w:rPr>
        <w:t>. (1990).</w:t>
      </w:r>
    </w:p>
    <w:p w14:paraId="01B94C9A"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Pr>
          <w:rFonts w:ascii="Times New Roman" w:eastAsia="Times New Roman" w:hAnsi="Times New Roman" w:cs="Times New Roman"/>
          <w:sz w:val="24"/>
          <w:szCs w:val="24"/>
        </w:rPr>
        <w:tab/>
        <w:t xml:space="preserve">United Nations. </w:t>
      </w:r>
      <w:r>
        <w:rPr>
          <w:rFonts w:ascii="Times New Roman" w:eastAsia="Times New Roman" w:hAnsi="Times New Roman" w:cs="Times New Roman"/>
          <w:i/>
          <w:sz w:val="24"/>
          <w:szCs w:val="24"/>
        </w:rPr>
        <w:t>Convention on the Rights of Persons with Disabilities</w:t>
      </w:r>
      <w:r>
        <w:rPr>
          <w:rFonts w:ascii="Times New Roman" w:eastAsia="Times New Roman" w:hAnsi="Times New Roman" w:cs="Times New Roman"/>
          <w:sz w:val="24"/>
          <w:szCs w:val="24"/>
        </w:rPr>
        <w:t>. (2008).</w:t>
      </w:r>
    </w:p>
    <w:p w14:paraId="3CBC5243" w14:textId="77777777" w:rsidR="00CC7D76" w:rsidRDefault="003547EE" w:rsidP="00115AF0">
      <w:pPr>
        <w:widowControl w:val="0"/>
        <w:spacing w:before="100" w:after="100" w:line="360" w:lineRule="auto"/>
        <w:ind w:left="640" w:hanging="6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t xml:space="preserve">IDLO &amp; Irish Aid. </w:t>
      </w:r>
      <w:r>
        <w:rPr>
          <w:rFonts w:ascii="Times New Roman" w:eastAsia="Times New Roman" w:hAnsi="Times New Roman" w:cs="Times New Roman"/>
          <w:i/>
          <w:sz w:val="24"/>
          <w:szCs w:val="24"/>
        </w:rPr>
        <w:t>Realizing the Right to Food Legal Strategies and Approaches</w:t>
      </w:r>
      <w:r>
        <w:rPr>
          <w:rFonts w:ascii="Times New Roman" w:eastAsia="Times New Roman" w:hAnsi="Times New Roman" w:cs="Times New Roman"/>
          <w:sz w:val="24"/>
          <w:szCs w:val="24"/>
        </w:rPr>
        <w:t>. (2015).</w:t>
      </w:r>
    </w:p>
    <w:p w14:paraId="1FACB587" w14:textId="77777777" w:rsidR="00CC7D76" w:rsidRDefault="00CC7D76">
      <w:pPr>
        <w:widowControl w:val="0"/>
        <w:spacing w:before="100" w:after="100" w:line="360" w:lineRule="auto"/>
        <w:jc w:val="both"/>
        <w:rPr>
          <w:rFonts w:ascii="Times New Roman" w:eastAsia="Times New Roman" w:hAnsi="Times New Roman" w:cs="Times New Roman"/>
          <w:sz w:val="24"/>
          <w:szCs w:val="24"/>
        </w:rPr>
      </w:pPr>
    </w:p>
    <w:p w14:paraId="3FBCB6B6" w14:textId="77777777" w:rsidR="00CC7D76" w:rsidRDefault="00CC7D76">
      <w:pPr>
        <w:widowControl w:val="0"/>
        <w:spacing w:before="100" w:after="100" w:line="360" w:lineRule="auto"/>
        <w:jc w:val="both"/>
        <w:rPr>
          <w:rFonts w:ascii="Times New Roman" w:eastAsia="Times New Roman" w:hAnsi="Times New Roman" w:cs="Times New Roman"/>
          <w:sz w:val="24"/>
          <w:szCs w:val="24"/>
        </w:rPr>
      </w:pPr>
    </w:p>
    <w:p w14:paraId="45BA4693" w14:textId="77777777" w:rsidR="00CC7D76" w:rsidRDefault="00CC7D76">
      <w:pPr>
        <w:widowControl w:val="0"/>
        <w:spacing w:before="100" w:after="100" w:line="360" w:lineRule="auto"/>
        <w:jc w:val="both"/>
        <w:rPr>
          <w:rFonts w:ascii="Times New Roman" w:eastAsia="Times New Roman" w:hAnsi="Times New Roman" w:cs="Times New Roman"/>
          <w:sz w:val="24"/>
          <w:szCs w:val="24"/>
        </w:rPr>
      </w:pPr>
    </w:p>
    <w:p w14:paraId="163242CE" w14:textId="56DB8E2A" w:rsidR="00CC7D76" w:rsidRDefault="009348A9">
      <w:pPr>
        <w:widowControl w:val="0"/>
        <w:spacing w:before="100" w:after="1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1</w:t>
      </w:r>
      <w:r w:rsidR="003547EE">
        <w:rPr>
          <w:rFonts w:ascii="Times New Roman" w:eastAsia="Times New Roman" w:hAnsi="Times New Roman" w:cs="Times New Roman"/>
          <w:b/>
          <w:sz w:val="24"/>
          <w:szCs w:val="24"/>
        </w:rPr>
        <w:t>: Qualitative tools</w:t>
      </w:r>
    </w:p>
    <w:p w14:paraId="2139A4AA" w14:textId="08D4B08E" w:rsidR="00CC7D76" w:rsidRDefault="009348A9">
      <w:pPr>
        <w:widowControl w:val="0"/>
        <w:spacing w:before="100" w:after="1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11</w:t>
      </w:r>
      <w:r w:rsidR="003547EE">
        <w:rPr>
          <w:rFonts w:ascii="Times New Roman" w:eastAsia="Times New Roman" w:hAnsi="Times New Roman" w:cs="Times New Roman"/>
          <w:b/>
          <w:sz w:val="24"/>
          <w:szCs w:val="24"/>
        </w:rPr>
        <w:t>: Consent forms</w:t>
      </w:r>
    </w:p>
    <w:p w14:paraId="502B6DD9" w14:textId="265D8927" w:rsidR="00C3101C" w:rsidRDefault="00C3101C" w:rsidP="00C3101C">
      <w:pPr>
        <w:widowControl w:val="0"/>
        <w:spacing w:before="100" w:after="1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1I1: Ethics Certificates</w:t>
      </w:r>
    </w:p>
    <w:p w14:paraId="183BC30B" w14:textId="1EDB58C9" w:rsidR="00C3101C" w:rsidRDefault="00C3101C" w:rsidP="00C3101C">
      <w:pPr>
        <w:widowControl w:val="0"/>
        <w:spacing w:before="100" w:after="1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1V: CVs of Investigators</w:t>
      </w:r>
    </w:p>
    <w:p w14:paraId="4DBB27CA" w14:textId="2B69F1A6" w:rsidR="008C4CF1" w:rsidRDefault="00C3101C" w:rsidP="00C3101C">
      <w:pPr>
        <w:widowControl w:val="0"/>
        <w:spacing w:before="100" w:after="1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Appendix V: </w:t>
      </w:r>
      <w:r w:rsidR="00774378">
        <w:rPr>
          <w:rFonts w:ascii="Times New Roman" w:eastAsia="Times New Roman" w:hAnsi="Times New Roman" w:cs="Times New Roman"/>
          <w:b/>
          <w:sz w:val="24"/>
          <w:szCs w:val="24"/>
        </w:rPr>
        <w:t>Award Letter and Budget</w:t>
      </w:r>
    </w:p>
    <w:p w14:paraId="1A6846EC" w14:textId="50C6478B" w:rsidR="008C4CF1" w:rsidRDefault="008C4CF1" w:rsidP="00C3101C">
      <w:pPr>
        <w:widowControl w:val="0"/>
        <w:spacing w:before="100" w:after="1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VI: Institutional Cover Letter</w:t>
      </w:r>
    </w:p>
    <w:p w14:paraId="6D635EE1" w14:textId="77777777" w:rsidR="00C3101C" w:rsidRDefault="00C3101C" w:rsidP="00C3101C">
      <w:pPr>
        <w:widowControl w:val="0"/>
        <w:spacing w:before="100" w:after="100" w:line="360" w:lineRule="auto"/>
        <w:jc w:val="both"/>
        <w:rPr>
          <w:rFonts w:ascii="Times New Roman" w:eastAsia="Times New Roman" w:hAnsi="Times New Roman" w:cs="Times New Roman"/>
          <w:b/>
          <w:sz w:val="24"/>
          <w:szCs w:val="24"/>
        </w:rPr>
      </w:pPr>
    </w:p>
    <w:p w14:paraId="3EFA60BA" w14:textId="77777777" w:rsidR="00C3101C" w:rsidRDefault="00C3101C" w:rsidP="00C3101C">
      <w:pPr>
        <w:widowControl w:val="0"/>
        <w:spacing w:before="100" w:after="100" w:line="360" w:lineRule="auto"/>
        <w:jc w:val="both"/>
        <w:rPr>
          <w:rFonts w:ascii="Times New Roman" w:eastAsia="Times New Roman" w:hAnsi="Times New Roman" w:cs="Times New Roman"/>
          <w:b/>
          <w:sz w:val="24"/>
          <w:szCs w:val="24"/>
        </w:rPr>
      </w:pPr>
    </w:p>
    <w:p w14:paraId="47F9AB3F" w14:textId="77777777" w:rsidR="00C3101C" w:rsidRDefault="00C3101C">
      <w:pPr>
        <w:widowControl w:val="0"/>
        <w:spacing w:before="100" w:after="100" w:line="360" w:lineRule="auto"/>
        <w:jc w:val="both"/>
        <w:rPr>
          <w:rFonts w:ascii="Times New Roman" w:eastAsia="Times New Roman" w:hAnsi="Times New Roman" w:cs="Times New Roman"/>
          <w:b/>
          <w:sz w:val="24"/>
          <w:szCs w:val="24"/>
        </w:rPr>
      </w:pPr>
    </w:p>
    <w:p w14:paraId="3B6EE0B4" w14:textId="77777777" w:rsidR="00CC7D76" w:rsidRDefault="00CC7D76">
      <w:pPr>
        <w:widowControl w:val="0"/>
        <w:spacing w:before="100" w:after="100" w:line="360" w:lineRule="auto"/>
        <w:jc w:val="both"/>
        <w:rPr>
          <w:rFonts w:ascii="Times New Roman" w:eastAsia="Times New Roman" w:hAnsi="Times New Roman" w:cs="Times New Roman"/>
          <w:b/>
          <w:sz w:val="24"/>
          <w:szCs w:val="24"/>
        </w:rPr>
      </w:pPr>
    </w:p>
    <w:p w14:paraId="27AF3627" w14:textId="77777777" w:rsidR="00CC7D76" w:rsidRDefault="00CC7D76">
      <w:pPr>
        <w:widowControl w:val="0"/>
        <w:spacing w:before="100" w:after="100" w:line="360" w:lineRule="auto"/>
        <w:jc w:val="both"/>
        <w:rPr>
          <w:rFonts w:ascii="Times New Roman" w:eastAsia="Times New Roman" w:hAnsi="Times New Roman" w:cs="Times New Roman"/>
          <w:b/>
          <w:sz w:val="24"/>
          <w:szCs w:val="24"/>
        </w:rPr>
      </w:pPr>
    </w:p>
    <w:sectPr w:rsidR="00CC7D76">
      <w:headerReference w:type="default" r:id="rId11"/>
      <w:footerReference w:type="default" r:id="rId12"/>
      <w:pgSz w:w="12240" w:h="15840"/>
      <w:pgMar w:top="1440" w:right="1080" w:bottom="1440" w:left="1080" w:header="7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F1998" w14:textId="77777777" w:rsidR="00DB2283" w:rsidRDefault="00DB2283">
      <w:pPr>
        <w:spacing w:after="0" w:line="240" w:lineRule="auto"/>
      </w:pPr>
      <w:r>
        <w:separator/>
      </w:r>
    </w:p>
  </w:endnote>
  <w:endnote w:type="continuationSeparator" w:id="0">
    <w:p w14:paraId="7485B8E4" w14:textId="77777777" w:rsidR="00DB2283" w:rsidRDefault="00DB2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AA6CE" w14:textId="77777777" w:rsidR="00C3101C" w:rsidRDefault="00C3101C">
    <w:pPr>
      <w:jc w:val="both"/>
      <w:rPr>
        <w:rFonts w:ascii="Arial" w:eastAsia="Arial" w:hAnsi="Arial" w:cs="Arial"/>
        <w:b/>
      </w:rPr>
    </w:pPr>
    <w:r>
      <w:fldChar w:fldCharType="begin"/>
    </w:r>
    <w:r>
      <w:instrText>PAGE</w:instrText>
    </w:r>
    <w:r>
      <w:fldChar w:fldCharType="separate"/>
    </w:r>
    <w:r w:rsidR="00C165C4">
      <w:rPr>
        <w:noProof/>
      </w:rPr>
      <w:t>5</w:t>
    </w:r>
    <w:r>
      <w:fldChar w:fldCharType="end"/>
    </w:r>
    <w:r>
      <w:rPr>
        <w:b/>
        <w:sz w:val="16"/>
        <w:szCs w:val="16"/>
      </w:rPr>
      <w:t xml:space="preserve"> | </w:t>
    </w:r>
    <w:r>
      <w:rPr>
        <w:rFonts w:ascii="Times New Roman" w:eastAsia="Times New Roman" w:hAnsi="Times New Roman" w:cs="Times New Roman"/>
        <w:b/>
        <w:sz w:val="16"/>
        <w:szCs w:val="16"/>
      </w:rPr>
      <w:t>Using innovative participatory methods to stimulate debate on the right to food for the urban poor</w:t>
    </w:r>
    <w:r>
      <w:rPr>
        <w:rFonts w:ascii="Arial" w:eastAsia="Arial" w:hAnsi="Arial" w:cs="Arial"/>
        <w:b/>
      </w:rPr>
      <w:t xml:space="preserve"> </w:t>
    </w:r>
  </w:p>
  <w:p w14:paraId="517DFBE2" w14:textId="77777777" w:rsidR="00C3101C" w:rsidRDefault="00C3101C">
    <w:pPr>
      <w:tabs>
        <w:tab w:val="center" w:pos="4680"/>
        <w:tab w:val="right" w:pos="9360"/>
      </w:tabs>
      <w:spacing w:after="720" w:line="240" w:lineRule="auto"/>
    </w:pPr>
  </w:p>
  <w:p w14:paraId="6934FF24" w14:textId="77777777" w:rsidR="00C3101C" w:rsidRDefault="00C3101C">
    <w:pPr>
      <w:tabs>
        <w:tab w:val="center" w:pos="4680"/>
        <w:tab w:val="right" w:pos="9360"/>
      </w:tabs>
      <w:spacing w:after="72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CC65F3" w14:textId="77777777" w:rsidR="00DB2283" w:rsidRDefault="00DB2283">
      <w:pPr>
        <w:spacing w:after="0" w:line="240" w:lineRule="auto"/>
      </w:pPr>
      <w:r>
        <w:separator/>
      </w:r>
    </w:p>
  </w:footnote>
  <w:footnote w:type="continuationSeparator" w:id="0">
    <w:p w14:paraId="5CB14D60" w14:textId="77777777" w:rsidR="00DB2283" w:rsidRDefault="00DB2283">
      <w:pPr>
        <w:spacing w:after="0" w:line="240" w:lineRule="auto"/>
      </w:pPr>
      <w:r>
        <w:continuationSeparator/>
      </w:r>
    </w:p>
  </w:footnote>
  <w:footnote w:id="1">
    <w:p w14:paraId="068E37CE" w14:textId="77777777" w:rsidR="00C3101C" w:rsidRDefault="00C3101C">
      <w:pPr>
        <w:jc w:val="both"/>
        <w:rPr>
          <w:sz w:val="16"/>
          <w:szCs w:val="16"/>
        </w:rPr>
      </w:pPr>
      <w:r>
        <w:rPr>
          <w:vertAlign w:val="superscript"/>
        </w:rPr>
        <w:footnoteRef/>
      </w:r>
      <w:r>
        <w:rPr>
          <w:sz w:val="16"/>
          <w:szCs w:val="16"/>
        </w:rPr>
        <w:t xml:space="preserve">A human library involves having people knowledgeable on a certain topic as books where people borrow them for some time to learn more about that topic, in our case the topic is food security and the right to food. </w:t>
      </w:r>
    </w:p>
    <w:p w14:paraId="18FF8CA4" w14:textId="77777777" w:rsidR="00C3101C" w:rsidRDefault="00C3101C">
      <w:pPr>
        <w:jc w:val="both"/>
        <w:rPr>
          <w:sz w:val="16"/>
          <w:szCs w:val="16"/>
        </w:rPr>
      </w:pPr>
    </w:p>
  </w:footnote>
  <w:footnote w:id="2">
    <w:p w14:paraId="1EC328E7" w14:textId="77777777" w:rsidR="00C3101C" w:rsidRDefault="00C3101C">
      <w:pPr>
        <w:pBdr>
          <w:top w:val="nil"/>
          <w:left w:val="nil"/>
          <w:bottom w:val="nil"/>
          <w:right w:val="nil"/>
          <w:between w:val="nil"/>
        </w:pBdr>
        <w:spacing w:after="300" w:line="240" w:lineRule="auto"/>
        <w:rPr>
          <w:rFonts w:ascii="Times New Roman" w:eastAsia="Times New Roman" w:hAnsi="Times New Roman" w:cs="Times New Roman"/>
          <w:color w:val="656565"/>
          <w:sz w:val="16"/>
          <w:szCs w:val="16"/>
        </w:rPr>
      </w:pPr>
      <w:r>
        <w:rPr>
          <w:vertAlign w:val="superscript"/>
        </w:rPr>
        <w:footnoteRef/>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16"/>
          <w:szCs w:val="16"/>
        </w:rPr>
        <w:t>Photovoice uses a method called SHOWED which helps to describe your photographs, below are  five questions related to SHOWED.   1. What do you </w:t>
      </w:r>
      <w:r>
        <w:rPr>
          <w:rFonts w:ascii="Times New Roman" w:eastAsia="Times New Roman" w:hAnsi="Times New Roman" w:cs="Times New Roman"/>
          <w:b/>
          <w:color w:val="000000"/>
          <w:sz w:val="16"/>
          <w:szCs w:val="16"/>
        </w:rPr>
        <w:t>S</w:t>
      </w:r>
      <w:r>
        <w:rPr>
          <w:rFonts w:ascii="Times New Roman" w:eastAsia="Times New Roman" w:hAnsi="Times New Roman" w:cs="Times New Roman"/>
          <w:color w:val="000000"/>
          <w:sz w:val="16"/>
          <w:szCs w:val="16"/>
        </w:rPr>
        <w:t>ee here? 2. What is really </w:t>
      </w:r>
      <w:r>
        <w:rPr>
          <w:rFonts w:ascii="Times New Roman" w:eastAsia="Times New Roman" w:hAnsi="Times New Roman" w:cs="Times New Roman"/>
          <w:b/>
          <w:color w:val="000000"/>
          <w:sz w:val="16"/>
          <w:szCs w:val="16"/>
        </w:rPr>
        <w:t>H</w:t>
      </w:r>
      <w:r>
        <w:rPr>
          <w:rFonts w:ascii="Times New Roman" w:eastAsia="Times New Roman" w:hAnsi="Times New Roman" w:cs="Times New Roman"/>
          <w:color w:val="000000"/>
          <w:sz w:val="16"/>
          <w:szCs w:val="16"/>
        </w:rPr>
        <w:t>appening here? 3. How does this relate to </w:t>
      </w:r>
      <w:r>
        <w:rPr>
          <w:rFonts w:ascii="Times New Roman" w:eastAsia="Times New Roman" w:hAnsi="Times New Roman" w:cs="Times New Roman"/>
          <w:b/>
          <w:color w:val="000000"/>
          <w:sz w:val="16"/>
          <w:szCs w:val="16"/>
        </w:rPr>
        <w:t>O</w:t>
      </w:r>
      <w:r>
        <w:rPr>
          <w:rFonts w:ascii="Times New Roman" w:eastAsia="Times New Roman" w:hAnsi="Times New Roman" w:cs="Times New Roman"/>
          <w:color w:val="000000"/>
          <w:sz w:val="16"/>
          <w:szCs w:val="16"/>
        </w:rPr>
        <w:t>ur lives? 4. </w:t>
      </w:r>
      <w:r>
        <w:rPr>
          <w:rFonts w:ascii="Times New Roman" w:eastAsia="Times New Roman" w:hAnsi="Times New Roman" w:cs="Times New Roman"/>
          <w:b/>
          <w:color w:val="000000"/>
          <w:sz w:val="16"/>
          <w:szCs w:val="16"/>
        </w:rPr>
        <w:t>W</w:t>
      </w:r>
      <w:r>
        <w:rPr>
          <w:rFonts w:ascii="Times New Roman" w:eastAsia="Times New Roman" w:hAnsi="Times New Roman" w:cs="Times New Roman"/>
          <w:color w:val="000000"/>
          <w:sz w:val="16"/>
          <w:szCs w:val="16"/>
        </w:rPr>
        <w:t>hy does this condition </w:t>
      </w:r>
      <w:r>
        <w:rPr>
          <w:rFonts w:ascii="Times New Roman" w:eastAsia="Times New Roman" w:hAnsi="Times New Roman" w:cs="Times New Roman"/>
          <w:b/>
          <w:color w:val="000000"/>
          <w:sz w:val="16"/>
          <w:szCs w:val="16"/>
        </w:rPr>
        <w:t>E</w:t>
      </w:r>
      <w:r>
        <w:rPr>
          <w:rFonts w:ascii="Times New Roman" w:eastAsia="Times New Roman" w:hAnsi="Times New Roman" w:cs="Times New Roman"/>
          <w:color w:val="000000"/>
          <w:sz w:val="16"/>
          <w:szCs w:val="16"/>
        </w:rPr>
        <w:t xml:space="preserve">xist? </w:t>
      </w:r>
      <w:r>
        <w:rPr>
          <w:rFonts w:ascii="Times New Roman" w:eastAsia="Times New Roman" w:hAnsi="Times New Roman" w:cs="Times New Roman"/>
          <w:color w:val="656565"/>
          <w:sz w:val="16"/>
          <w:szCs w:val="16"/>
        </w:rPr>
        <w:t>5</w:t>
      </w:r>
      <w:r>
        <w:rPr>
          <w:rFonts w:ascii="Times New Roman" w:eastAsia="Times New Roman" w:hAnsi="Times New Roman" w:cs="Times New Roman"/>
          <w:color w:val="000000"/>
          <w:sz w:val="16"/>
          <w:szCs w:val="16"/>
        </w:rPr>
        <w:t>. What can we </w:t>
      </w:r>
      <w:r>
        <w:rPr>
          <w:rFonts w:ascii="Times New Roman" w:eastAsia="Times New Roman" w:hAnsi="Times New Roman" w:cs="Times New Roman"/>
          <w:b/>
          <w:color w:val="000000"/>
          <w:sz w:val="16"/>
          <w:szCs w:val="16"/>
        </w:rPr>
        <w:t>D</w:t>
      </w:r>
      <w:r>
        <w:rPr>
          <w:rFonts w:ascii="Times New Roman" w:eastAsia="Times New Roman" w:hAnsi="Times New Roman" w:cs="Times New Roman"/>
          <w:color w:val="000000"/>
          <w:sz w:val="16"/>
          <w:szCs w:val="16"/>
        </w:rPr>
        <w:t>o about it?</w:t>
      </w:r>
    </w:p>
    <w:p w14:paraId="4004D7AC" w14:textId="77777777" w:rsidR="00C3101C" w:rsidRDefault="00C3101C">
      <w:pPr>
        <w:pBdr>
          <w:top w:val="nil"/>
          <w:left w:val="nil"/>
          <w:bottom w:val="nil"/>
          <w:right w:val="nil"/>
          <w:between w:val="nil"/>
        </w:pBdr>
        <w:spacing w:after="0" w:line="240" w:lineRule="auto"/>
        <w:rPr>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BD93" w14:textId="421DC1CB" w:rsidR="00C3101C" w:rsidRDefault="00C3101C">
    <w:pPr>
      <w:tabs>
        <w:tab w:val="center" w:pos="4680"/>
        <w:tab w:val="right" w:pos="9360"/>
      </w:tabs>
      <w:spacing w:before="720" w:after="0" w:line="240" w:lineRule="auto"/>
    </w:pPr>
    <w:r>
      <w:t xml:space="preserve">Version 1.0  </w:t>
    </w:r>
    <w:r>
      <w:tab/>
    </w:r>
    <w:r>
      <w:tab/>
    </w:r>
    <w:r w:rsidR="00410386">
      <w:t>August</w:t>
    </w:r>
    <w:r>
      <w:t xml:space="preserve"> 2018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A2966"/>
    <w:multiLevelType w:val="multilevel"/>
    <w:tmpl w:val="E4985ED6"/>
    <w:lvl w:ilvl="0">
      <w:start w:val="1"/>
      <w:numFmt w:val="decimal"/>
      <w:lvlText w:val="%1."/>
      <w:lvlJc w:val="left"/>
      <w:pPr>
        <w:ind w:left="720" w:hanging="360"/>
      </w:pPr>
      <w:rPr>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13A1ACF"/>
    <w:multiLevelType w:val="multilevel"/>
    <w:tmpl w:val="37901D86"/>
    <w:lvl w:ilvl="0">
      <w:start w:val="1"/>
      <w:numFmt w:val="lowerLetter"/>
      <w:lvlText w:val="%1)"/>
      <w:lvlJc w:val="left"/>
      <w:pPr>
        <w:ind w:left="720" w:firstLine="1080"/>
      </w:p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2" w15:restartNumberingAfterBreak="0">
    <w:nsid w:val="50202593"/>
    <w:multiLevelType w:val="multilevel"/>
    <w:tmpl w:val="7026FA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F88251C"/>
    <w:multiLevelType w:val="multilevel"/>
    <w:tmpl w:val="A09C2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37E258F"/>
    <w:multiLevelType w:val="multilevel"/>
    <w:tmpl w:val="1D4C3A9A"/>
    <w:lvl w:ilvl="0">
      <w:start w:val="1"/>
      <w:numFmt w:val="lowerLetter"/>
      <w:lvlText w:val="%1)"/>
      <w:lvlJc w:val="left"/>
      <w:pPr>
        <w:ind w:left="720" w:firstLine="1080"/>
      </w:p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5" w15:restartNumberingAfterBreak="0">
    <w:nsid w:val="6A8B1A0B"/>
    <w:multiLevelType w:val="multilevel"/>
    <w:tmpl w:val="85EE61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5DA7831"/>
    <w:multiLevelType w:val="multilevel"/>
    <w:tmpl w:val="1D4C3A9A"/>
    <w:lvl w:ilvl="0">
      <w:start w:val="1"/>
      <w:numFmt w:val="lowerLetter"/>
      <w:lvlText w:val="%1)"/>
      <w:lvlJc w:val="left"/>
      <w:pPr>
        <w:ind w:left="720" w:firstLine="1080"/>
      </w:p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num w:numId="1">
    <w:abstractNumId w:val="1"/>
  </w:num>
  <w:num w:numId="2">
    <w:abstractNumId w:val="0"/>
  </w:num>
  <w:num w:numId="3">
    <w:abstractNumId w:val="3"/>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D76"/>
    <w:rsid w:val="00065D01"/>
    <w:rsid w:val="000D62DD"/>
    <w:rsid w:val="00115AF0"/>
    <w:rsid w:val="001A7056"/>
    <w:rsid w:val="001C02E8"/>
    <w:rsid w:val="002048F5"/>
    <w:rsid w:val="00231E6E"/>
    <w:rsid w:val="002716C6"/>
    <w:rsid w:val="00274C1C"/>
    <w:rsid w:val="00277230"/>
    <w:rsid w:val="002B3CD9"/>
    <w:rsid w:val="002E5989"/>
    <w:rsid w:val="0030282A"/>
    <w:rsid w:val="003547EE"/>
    <w:rsid w:val="003834E2"/>
    <w:rsid w:val="003B2016"/>
    <w:rsid w:val="003E12BB"/>
    <w:rsid w:val="00410386"/>
    <w:rsid w:val="00425632"/>
    <w:rsid w:val="00430752"/>
    <w:rsid w:val="005A1074"/>
    <w:rsid w:val="005B19AE"/>
    <w:rsid w:val="005F7BA1"/>
    <w:rsid w:val="006376C7"/>
    <w:rsid w:val="006C4653"/>
    <w:rsid w:val="00737FD1"/>
    <w:rsid w:val="00774378"/>
    <w:rsid w:val="007A386C"/>
    <w:rsid w:val="007A5AC7"/>
    <w:rsid w:val="007E1AC9"/>
    <w:rsid w:val="008320A6"/>
    <w:rsid w:val="00863D82"/>
    <w:rsid w:val="008A0C2B"/>
    <w:rsid w:val="008C4CF1"/>
    <w:rsid w:val="009204DE"/>
    <w:rsid w:val="009277BF"/>
    <w:rsid w:val="009348A9"/>
    <w:rsid w:val="009C470F"/>
    <w:rsid w:val="009D6BA6"/>
    <w:rsid w:val="00A2054F"/>
    <w:rsid w:val="00A97D45"/>
    <w:rsid w:val="00B7287F"/>
    <w:rsid w:val="00BB527E"/>
    <w:rsid w:val="00C165C4"/>
    <w:rsid w:val="00C3101C"/>
    <w:rsid w:val="00C53338"/>
    <w:rsid w:val="00C65E1B"/>
    <w:rsid w:val="00CB33D5"/>
    <w:rsid w:val="00CC7D76"/>
    <w:rsid w:val="00CF194F"/>
    <w:rsid w:val="00D92B67"/>
    <w:rsid w:val="00DA1521"/>
    <w:rsid w:val="00DB2283"/>
    <w:rsid w:val="00DB46B9"/>
    <w:rsid w:val="00DF6A0E"/>
    <w:rsid w:val="00E30C24"/>
    <w:rsid w:val="00E63964"/>
    <w:rsid w:val="00E72949"/>
    <w:rsid w:val="00F53DE6"/>
    <w:rsid w:val="00F865A2"/>
    <w:rsid w:val="00FA6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02DE8"/>
  <w15:docId w15:val="{C7E8463B-07CA-4395-967D-A7B521561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color w:val="2E75B5"/>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A10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107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204DE"/>
    <w:rPr>
      <w:b/>
      <w:bCs/>
    </w:rPr>
  </w:style>
  <w:style w:type="character" w:customStyle="1" w:styleId="CommentSubjectChar">
    <w:name w:val="Comment Subject Char"/>
    <w:basedOn w:val="CommentTextChar"/>
    <w:link w:val="CommentSubject"/>
    <w:uiPriority w:val="99"/>
    <w:semiHidden/>
    <w:rsid w:val="009204DE"/>
    <w:rPr>
      <w:b/>
      <w:bCs/>
      <w:sz w:val="20"/>
      <w:szCs w:val="20"/>
    </w:rPr>
  </w:style>
  <w:style w:type="paragraph" w:styleId="ListParagraph">
    <w:name w:val="List Paragraph"/>
    <w:basedOn w:val="Normal"/>
    <w:uiPriority w:val="34"/>
    <w:qFormat/>
    <w:rsid w:val="00E30C24"/>
    <w:pPr>
      <w:ind w:left="720"/>
      <w:contextualSpacing/>
    </w:pPr>
  </w:style>
  <w:style w:type="character" w:customStyle="1" w:styleId="il">
    <w:name w:val="il"/>
    <w:basedOn w:val="DefaultParagraphFont"/>
    <w:rsid w:val="00277230"/>
  </w:style>
  <w:style w:type="paragraph" w:styleId="Header">
    <w:name w:val="header"/>
    <w:basedOn w:val="Normal"/>
    <w:link w:val="HeaderChar"/>
    <w:uiPriority w:val="99"/>
    <w:unhideWhenUsed/>
    <w:rsid w:val="00115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AF0"/>
  </w:style>
  <w:style w:type="paragraph" w:styleId="Footer">
    <w:name w:val="footer"/>
    <w:basedOn w:val="Normal"/>
    <w:link w:val="FooterChar"/>
    <w:uiPriority w:val="99"/>
    <w:unhideWhenUsed/>
    <w:rsid w:val="00115A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4505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fidep.org/staff/rose-n-oronje-ph-d-director-science-communications-and-evidence-uptake/" TargetMode="External"/><Relationship Id="rId4" Type="http://schemas.openxmlformats.org/officeDocument/2006/relationships/settings" Target="settings.xml"/><Relationship Id="rId9" Type="http://schemas.openxmlformats.org/officeDocument/2006/relationships/hyperlink" Target="http://aphrc.org/post/team/carol-gatur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78B8B-79BD-4A62-9234-A21CC099A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6097</Words>
  <Characters>34757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Nkatha Karichu</dc:creator>
  <cp:lastModifiedBy>Bonface Ingumba</cp:lastModifiedBy>
  <cp:revision>2</cp:revision>
  <dcterms:created xsi:type="dcterms:W3CDTF">2025-03-18T12:36:00Z</dcterms:created>
  <dcterms:modified xsi:type="dcterms:W3CDTF">2025-03-18T12:36:00Z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78148db8-caa2-3259-9457-7083286e1c4b</vt:lpwstr>
  </property>
  <property fmtid="{D5CDD505-2E9C-101B-9397-08002B2CF9AE}" pid="4" name="Mendeley Citation Style_1">
    <vt:lpwstr>http://www.zotero.org/styles/nature</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http://www.zotero.org/styles/bmc-pregnancy-and-childbirth</vt:lpwstr>
  </property>
  <property fmtid="{D5CDD505-2E9C-101B-9397-08002B2CF9AE}" pid="10" name="Mendeley Recent Style Name 2_1">
    <vt:lpwstr>BMC Pregnancy and Childbirth</vt:lpwstr>
  </property>
  <property fmtid="{D5CDD505-2E9C-101B-9397-08002B2CF9AE}" pid="11" name="Mendeley Recent Style Id 3_1">
    <vt:lpwstr>http://www.zotero.org/styles/cambridge-university-press-numeric</vt:lpwstr>
  </property>
  <property fmtid="{D5CDD505-2E9C-101B-9397-08002B2CF9AE}" pid="12" name="Mendeley Recent Style Name 3_1">
    <vt:lpwstr>Cambridge University Press (numeric)</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http://www.zotero.org/styles/international-breastfeeding-journal</vt:lpwstr>
  </property>
  <property fmtid="{D5CDD505-2E9C-101B-9397-08002B2CF9AE}" pid="18" name="Mendeley Recent Style Name 6_1">
    <vt:lpwstr>International Breastfeeding Journal</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http://www.zotero.org/styles/vancouver</vt:lpwstr>
  </property>
  <property fmtid="{D5CDD505-2E9C-101B-9397-08002B2CF9AE}" pid="22" name="Mendeley Recent Style Name 8_1">
    <vt:lpwstr>Vancouver</vt:lpwstr>
  </property>
  <property fmtid="{D5CDD505-2E9C-101B-9397-08002B2CF9AE}" pid="23" name="Mendeley Recent Style Id 9_1">
    <vt:lpwstr>http://www.zotero.org/styles/vancouver-superscript</vt:lpwstr>
  </property>
  <property fmtid="{D5CDD505-2E9C-101B-9397-08002B2CF9AE}" pid="24" name="Mendeley Recent Style Name 9_1">
    <vt:lpwstr>Vancouver (superscript)</vt:lpwstr>
  </property>
</Properties>
</file>