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DB7E40" w14:textId="3CEBBBF9" w:rsidR="00AF3F53" w:rsidRPr="009A56DA" w:rsidRDefault="00E20048">
      <w:pPr>
        <w:jc w:val="center"/>
        <w:rPr>
          <w:b/>
          <w:sz w:val="28"/>
          <w:szCs w:val="28"/>
        </w:rPr>
      </w:pPr>
      <w:bookmarkStart w:id="0" w:name="_gjdgxs" w:colFirst="0" w:colLast="0"/>
      <w:bookmarkStart w:id="1" w:name="_GoBack"/>
      <w:bookmarkEnd w:id="0"/>
      <w:bookmarkEnd w:id="1"/>
      <w:r w:rsidRPr="009A56DA">
        <w:rPr>
          <w:b/>
          <w:sz w:val="28"/>
          <w:szCs w:val="28"/>
        </w:rPr>
        <w:t>Title of Project:</w:t>
      </w:r>
      <w:r w:rsidRPr="009A56DA">
        <w:rPr>
          <w:rFonts w:ascii="Arial" w:eastAsia="Arial" w:hAnsi="Arial" w:cs="Arial"/>
          <w:color w:val="222222"/>
          <w:sz w:val="19"/>
          <w:szCs w:val="19"/>
        </w:rPr>
        <w:t xml:space="preserve"> </w:t>
      </w:r>
      <w:r w:rsidRPr="009A56DA">
        <w:rPr>
          <w:b/>
          <w:sz w:val="28"/>
          <w:szCs w:val="28"/>
        </w:rPr>
        <w:t>Improving the timeliness of administering birth dose vaccines using a digital platform in Nairobi slums</w:t>
      </w:r>
    </w:p>
    <w:p w14:paraId="0E498D75" w14:textId="77777777" w:rsidR="00FC5697" w:rsidRPr="009A56DA" w:rsidRDefault="00FC5697" w:rsidP="00965358">
      <w:pPr>
        <w:rPr>
          <w:rFonts w:ascii="Arial" w:eastAsia="Arial" w:hAnsi="Arial" w:cs="Arial"/>
          <w:color w:val="222222"/>
          <w:sz w:val="19"/>
          <w:szCs w:val="19"/>
        </w:rPr>
      </w:pPr>
    </w:p>
    <w:p w14:paraId="248753A4" w14:textId="77777777" w:rsidR="00AF3F53" w:rsidRPr="009A56DA" w:rsidRDefault="00AF3F53">
      <w:pPr>
        <w:rPr>
          <w:b/>
          <w:sz w:val="28"/>
          <w:szCs w:val="28"/>
        </w:rPr>
      </w:pPr>
    </w:p>
    <w:p w14:paraId="76A06DC0" w14:textId="77777777" w:rsidR="00AF3F53" w:rsidRPr="009A56DA" w:rsidRDefault="00AF3F53">
      <w:pPr>
        <w:rPr>
          <w:b/>
          <w:sz w:val="28"/>
          <w:szCs w:val="28"/>
        </w:rPr>
      </w:pPr>
      <w:bookmarkStart w:id="2" w:name="_30j0zll" w:colFirst="0" w:colLast="0"/>
      <w:bookmarkEnd w:id="2"/>
    </w:p>
    <w:p w14:paraId="039F6147" w14:textId="77777777" w:rsidR="00AF3F53" w:rsidRPr="009A56DA" w:rsidRDefault="00AF3F53">
      <w:pPr>
        <w:rPr>
          <w:b/>
          <w:sz w:val="24"/>
          <w:szCs w:val="24"/>
        </w:rPr>
      </w:pPr>
    </w:p>
    <w:p w14:paraId="1463A475" w14:textId="7E299768" w:rsidR="00AF3F53" w:rsidRPr="009A56DA" w:rsidRDefault="000D41BB" w:rsidP="000D41BB">
      <w:pPr>
        <w:tabs>
          <w:tab w:val="left" w:pos="3570"/>
        </w:tabs>
        <w:rPr>
          <w:b/>
          <w:sz w:val="24"/>
          <w:szCs w:val="24"/>
        </w:rPr>
      </w:pPr>
      <w:r w:rsidRPr="009A56DA">
        <w:rPr>
          <w:b/>
          <w:sz w:val="24"/>
          <w:szCs w:val="24"/>
        </w:rPr>
        <w:tab/>
      </w:r>
    </w:p>
    <w:p w14:paraId="4DA8D0CE" w14:textId="77777777" w:rsidR="00AF3F53" w:rsidRPr="009A56DA" w:rsidRDefault="00AF3F53">
      <w:pPr>
        <w:rPr>
          <w:b/>
          <w:sz w:val="24"/>
          <w:szCs w:val="24"/>
        </w:rPr>
      </w:pPr>
    </w:p>
    <w:p w14:paraId="605F406E" w14:textId="77777777" w:rsidR="00AF3F53" w:rsidRPr="009A56DA" w:rsidRDefault="00AF3F53">
      <w:pPr>
        <w:rPr>
          <w:b/>
          <w:sz w:val="24"/>
          <w:szCs w:val="24"/>
        </w:rPr>
      </w:pPr>
    </w:p>
    <w:p w14:paraId="4137B4BF" w14:textId="77777777" w:rsidR="00AF3F53" w:rsidRPr="009A56DA" w:rsidRDefault="00E20048">
      <w:pPr>
        <w:rPr>
          <w:b/>
          <w:sz w:val="24"/>
          <w:szCs w:val="24"/>
        </w:rPr>
      </w:pPr>
      <w:r w:rsidRPr="009A56DA">
        <w:br w:type="page"/>
      </w:r>
    </w:p>
    <w:p w14:paraId="111DD5BC" w14:textId="77777777" w:rsidR="00AF3F53" w:rsidRPr="009A56DA" w:rsidRDefault="00E20048">
      <w:pPr>
        <w:rPr>
          <w:b/>
          <w:sz w:val="24"/>
          <w:szCs w:val="24"/>
        </w:rPr>
      </w:pPr>
      <w:r w:rsidRPr="009A56DA">
        <w:rPr>
          <w:b/>
          <w:sz w:val="24"/>
          <w:szCs w:val="24"/>
        </w:rPr>
        <w:lastRenderedPageBreak/>
        <w:t>Table of Contents</w:t>
      </w:r>
    </w:p>
    <w:sdt>
      <w:sdtPr>
        <w:id w:val="941653106"/>
        <w:docPartObj>
          <w:docPartGallery w:val="Table of Contents"/>
          <w:docPartUnique/>
        </w:docPartObj>
      </w:sdtPr>
      <w:sdtEndPr/>
      <w:sdtContent>
        <w:p w14:paraId="409D58AD" w14:textId="77777777" w:rsidR="00AF3F53" w:rsidRPr="009A56DA" w:rsidRDefault="00E20048">
          <w:pPr>
            <w:pBdr>
              <w:top w:val="nil"/>
              <w:left w:val="nil"/>
              <w:bottom w:val="nil"/>
              <w:right w:val="nil"/>
              <w:between w:val="nil"/>
            </w:pBdr>
            <w:tabs>
              <w:tab w:val="right" w:pos="9350"/>
            </w:tabs>
            <w:spacing w:before="120" w:after="120"/>
            <w:rPr>
              <w:color w:val="000000"/>
            </w:rPr>
          </w:pPr>
          <w:r w:rsidRPr="009A56DA">
            <w:fldChar w:fldCharType="begin"/>
          </w:r>
          <w:r w:rsidRPr="009A56DA">
            <w:instrText xml:space="preserve"> TOC \h \u \z </w:instrText>
          </w:r>
          <w:r w:rsidRPr="009A56DA">
            <w:fldChar w:fldCharType="separate"/>
          </w:r>
          <w:hyperlink w:anchor="_3znysh7">
            <w:r w:rsidRPr="009A56DA">
              <w:rPr>
                <w:b/>
                <w:smallCaps/>
                <w:color w:val="000000"/>
                <w:sz w:val="20"/>
                <w:szCs w:val="20"/>
              </w:rPr>
              <w:t>Abstract</w:t>
            </w:r>
            <w:r w:rsidRPr="009A56DA">
              <w:rPr>
                <w:b/>
                <w:smallCaps/>
                <w:color w:val="000000"/>
                <w:sz w:val="20"/>
                <w:szCs w:val="20"/>
              </w:rPr>
              <w:tab/>
              <w:t>v</w:t>
            </w:r>
          </w:hyperlink>
        </w:p>
        <w:p w14:paraId="6F5FB458" w14:textId="77777777" w:rsidR="00AF3F53" w:rsidRPr="009A56DA" w:rsidRDefault="00243DC5">
          <w:pPr>
            <w:pBdr>
              <w:top w:val="nil"/>
              <w:left w:val="nil"/>
              <w:bottom w:val="nil"/>
              <w:right w:val="nil"/>
              <w:between w:val="nil"/>
            </w:pBdr>
            <w:tabs>
              <w:tab w:val="left" w:pos="440"/>
              <w:tab w:val="right" w:pos="9350"/>
            </w:tabs>
            <w:spacing w:before="120" w:after="120"/>
            <w:rPr>
              <w:color w:val="000000"/>
            </w:rPr>
          </w:pPr>
          <w:hyperlink w:anchor="_2et92p0">
            <w:r w:rsidR="00E20048" w:rsidRPr="009A56DA">
              <w:rPr>
                <w:b/>
                <w:smallCaps/>
                <w:color w:val="000000"/>
                <w:sz w:val="20"/>
                <w:szCs w:val="20"/>
              </w:rPr>
              <w:t>I.</w:t>
            </w:r>
          </w:hyperlink>
          <w:hyperlink w:anchor="_2et92p0">
            <w:r w:rsidR="00E20048" w:rsidRPr="009A56DA">
              <w:rPr>
                <w:color w:val="000000"/>
              </w:rPr>
              <w:tab/>
            </w:r>
          </w:hyperlink>
          <w:r w:rsidR="00E20048" w:rsidRPr="009A56DA">
            <w:fldChar w:fldCharType="begin"/>
          </w:r>
          <w:r w:rsidR="00E20048" w:rsidRPr="009A56DA">
            <w:instrText xml:space="preserve"> PAGEREF _2et92p0 \h </w:instrText>
          </w:r>
          <w:r w:rsidR="00E20048" w:rsidRPr="009A56DA">
            <w:fldChar w:fldCharType="separate"/>
          </w:r>
          <w:r w:rsidR="00E20048" w:rsidRPr="009A56DA">
            <w:rPr>
              <w:b/>
              <w:smallCaps/>
              <w:color w:val="000000"/>
              <w:sz w:val="20"/>
              <w:szCs w:val="20"/>
            </w:rPr>
            <w:t>Background</w:t>
          </w:r>
          <w:r w:rsidR="00E20048" w:rsidRPr="009A56DA">
            <w:rPr>
              <w:b/>
              <w:smallCaps/>
              <w:color w:val="000000"/>
              <w:sz w:val="20"/>
              <w:szCs w:val="20"/>
            </w:rPr>
            <w:tab/>
            <w:t>1</w:t>
          </w:r>
          <w:hyperlink w:anchor="_2et92p0" w:history="1"/>
        </w:p>
        <w:p w14:paraId="45968975" w14:textId="77777777" w:rsidR="00AF3F53" w:rsidRPr="009A56DA" w:rsidRDefault="00E20048">
          <w:pPr>
            <w:pBdr>
              <w:top w:val="nil"/>
              <w:left w:val="nil"/>
              <w:bottom w:val="nil"/>
              <w:right w:val="nil"/>
              <w:between w:val="nil"/>
            </w:pBdr>
            <w:tabs>
              <w:tab w:val="left" w:pos="440"/>
              <w:tab w:val="right" w:pos="9350"/>
            </w:tabs>
            <w:spacing w:before="120" w:after="120"/>
            <w:rPr>
              <w:color w:val="000000"/>
            </w:rPr>
          </w:pPr>
          <w:r w:rsidRPr="009A56DA">
            <w:fldChar w:fldCharType="end"/>
          </w:r>
          <w:hyperlink w:anchor="_tyjcwt">
            <w:r w:rsidRPr="009A56DA">
              <w:rPr>
                <w:b/>
                <w:smallCaps/>
                <w:color w:val="000000"/>
                <w:sz w:val="20"/>
                <w:szCs w:val="20"/>
              </w:rPr>
              <w:t>II.</w:t>
            </w:r>
          </w:hyperlink>
          <w:hyperlink w:anchor="_tyjcwt">
            <w:r w:rsidRPr="009A56DA">
              <w:rPr>
                <w:color w:val="000000"/>
              </w:rPr>
              <w:tab/>
            </w:r>
          </w:hyperlink>
          <w:r w:rsidRPr="009A56DA">
            <w:fldChar w:fldCharType="begin"/>
          </w:r>
          <w:r w:rsidRPr="009A56DA">
            <w:instrText xml:space="preserve"> PAGEREF _tyjcwt \h </w:instrText>
          </w:r>
          <w:r w:rsidRPr="009A56DA">
            <w:fldChar w:fldCharType="separate"/>
          </w:r>
          <w:r w:rsidRPr="009A56DA">
            <w:rPr>
              <w:b/>
              <w:smallCaps/>
              <w:color w:val="000000"/>
              <w:sz w:val="20"/>
              <w:szCs w:val="20"/>
            </w:rPr>
            <w:t>Problem Statement/Justification</w:t>
          </w:r>
          <w:r w:rsidRPr="009A56DA">
            <w:rPr>
              <w:b/>
              <w:smallCaps/>
              <w:color w:val="000000"/>
              <w:sz w:val="20"/>
              <w:szCs w:val="20"/>
            </w:rPr>
            <w:tab/>
            <w:t>1</w:t>
          </w:r>
          <w:hyperlink w:anchor="_tyjcwt" w:history="1"/>
        </w:p>
        <w:p w14:paraId="3B242027" w14:textId="77777777" w:rsidR="00AF3F53" w:rsidRPr="009A56DA" w:rsidRDefault="00E20048">
          <w:pPr>
            <w:pBdr>
              <w:top w:val="nil"/>
              <w:left w:val="nil"/>
              <w:bottom w:val="nil"/>
              <w:right w:val="nil"/>
              <w:between w:val="nil"/>
            </w:pBdr>
            <w:tabs>
              <w:tab w:val="left" w:pos="440"/>
              <w:tab w:val="right" w:pos="9350"/>
            </w:tabs>
            <w:spacing w:before="120" w:after="120"/>
            <w:rPr>
              <w:color w:val="000000"/>
            </w:rPr>
          </w:pPr>
          <w:r w:rsidRPr="009A56DA">
            <w:fldChar w:fldCharType="end"/>
          </w:r>
          <w:hyperlink w:anchor="_3dy6vkm">
            <w:r w:rsidRPr="009A56DA">
              <w:rPr>
                <w:b/>
                <w:smallCaps/>
                <w:color w:val="000000"/>
                <w:sz w:val="20"/>
                <w:szCs w:val="20"/>
              </w:rPr>
              <w:t>III.</w:t>
            </w:r>
          </w:hyperlink>
          <w:hyperlink w:anchor="_3dy6vkm">
            <w:r w:rsidRPr="009A56DA">
              <w:rPr>
                <w:color w:val="000000"/>
              </w:rPr>
              <w:tab/>
            </w:r>
          </w:hyperlink>
          <w:r w:rsidRPr="009A56DA">
            <w:fldChar w:fldCharType="begin"/>
          </w:r>
          <w:r w:rsidRPr="009A56DA">
            <w:instrText xml:space="preserve"> PAGEREF _3dy6vkm \h </w:instrText>
          </w:r>
          <w:r w:rsidRPr="009A56DA">
            <w:fldChar w:fldCharType="separate"/>
          </w:r>
          <w:r w:rsidRPr="009A56DA">
            <w:rPr>
              <w:b/>
              <w:smallCaps/>
              <w:color w:val="000000"/>
              <w:sz w:val="20"/>
              <w:szCs w:val="20"/>
            </w:rPr>
            <w:t>Review of Literature</w:t>
          </w:r>
          <w:r w:rsidRPr="009A56DA">
            <w:rPr>
              <w:b/>
              <w:smallCaps/>
              <w:color w:val="000000"/>
              <w:sz w:val="20"/>
              <w:szCs w:val="20"/>
            </w:rPr>
            <w:tab/>
            <w:t>2</w:t>
          </w:r>
          <w:hyperlink w:anchor="_3dy6vkm" w:history="1"/>
        </w:p>
        <w:p w14:paraId="73F2390E" w14:textId="77777777" w:rsidR="00AF3F53" w:rsidRPr="009A56DA" w:rsidRDefault="00E20048">
          <w:pPr>
            <w:pBdr>
              <w:top w:val="nil"/>
              <w:left w:val="nil"/>
              <w:bottom w:val="nil"/>
              <w:right w:val="nil"/>
              <w:between w:val="nil"/>
            </w:pBdr>
            <w:tabs>
              <w:tab w:val="left" w:pos="660"/>
              <w:tab w:val="right" w:pos="9350"/>
            </w:tabs>
            <w:spacing w:before="120" w:after="120"/>
            <w:rPr>
              <w:color w:val="000000"/>
            </w:rPr>
          </w:pPr>
          <w:r w:rsidRPr="009A56DA">
            <w:fldChar w:fldCharType="end"/>
          </w:r>
          <w:hyperlink w:anchor="_1t3h5sf">
            <w:r w:rsidRPr="009A56DA">
              <w:rPr>
                <w:b/>
                <w:smallCaps/>
                <w:color w:val="000000"/>
                <w:sz w:val="20"/>
                <w:szCs w:val="20"/>
              </w:rPr>
              <w:t>IV.</w:t>
            </w:r>
          </w:hyperlink>
          <w:hyperlink w:anchor="_1t3h5sf">
            <w:r w:rsidRPr="009A56DA">
              <w:rPr>
                <w:color w:val="000000"/>
              </w:rPr>
              <w:tab/>
            </w:r>
          </w:hyperlink>
          <w:r w:rsidRPr="009A56DA">
            <w:fldChar w:fldCharType="begin"/>
          </w:r>
          <w:r w:rsidRPr="009A56DA">
            <w:instrText xml:space="preserve"> PAGEREF _1t3h5sf \h </w:instrText>
          </w:r>
          <w:r w:rsidRPr="009A56DA">
            <w:fldChar w:fldCharType="separate"/>
          </w:r>
          <w:r w:rsidRPr="009A56DA">
            <w:rPr>
              <w:b/>
              <w:smallCaps/>
              <w:color w:val="000000"/>
              <w:sz w:val="20"/>
              <w:szCs w:val="20"/>
            </w:rPr>
            <w:t>Research Objectives</w:t>
          </w:r>
          <w:r w:rsidRPr="009A56DA">
            <w:rPr>
              <w:b/>
              <w:smallCaps/>
              <w:color w:val="000000"/>
              <w:sz w:val="20"/>
              <w:szCs w:val="20"/>
            </w:rPr>
            <w:tab/>
            <w:t>4</w:t>
          </w:r>
          <w:hyperlink w:anchor="_1t3h5sf" w:history="1"/>
        </w:p>
        <w:p w14:paraId="2E83B377" w14:textId="77777777" w:rsidR="00AF3F53" w:rsidRPr="009A56DA" w:rsidRDefault="00E20048">
          <w:pPr>
            <w:pBdr>
              <w:top w:val="nil"/>
              <w:left w:val="nil"/>
              <w:bottom w:val="nil"/>
              <w:right w:val="nil"/>
              <w:between w:val="nil"/>
            </w:pBdr>
            <w:tabs>
              <w:tab w:val="left" w:pos="440"/>
              <w:tab w:val="right" w:pos="9350"/>
            </w:tabs>
            <w:spacing w:before="120" w:after="120"/>
            <w:rPr>
              <w:color w:val="000000"/>
            </w:rPr>
          </w:pPr>
          <w:r w:rsidRPr="009A56DA">
            <w:fldChar w:fldCharType="end"/>
          </w:r>
          <w:hyperlink w:anchor="_4d34og8">
            <w:r w:rsidRPr="009A56DA">
              <w:rPr>
                <w:b/>
                <w:smallCaps/>
                <w:color w:val="000000"/>
                <w:sz w:val="20"/>
                <w:szCs w:val="20"/>
              </w:rPr>
              <w:t>V.</w:t>
            </w:r>
          </w:hyperlink>
          <w:hyperlink w:anchor="_4d34og8">
            <w:r w:rsidRPr="009A56DA">
              <w:rPr>
                <w:color w:val="000000"/>
              </w:rPr>
              <w:tab/>
            </w:r>
          </w:hyperlink>
          <w:r w:rsidRPr="009A56DA">
            <w:fldChar w:fldCharType="begin"/>
          </w:r>
          <w:r w:rsidRPr="009A56DA">
            <w:instrText xml:space="preserve"> PAGEREF _4d34og8 \h </w:instrText>
          </w:r>
          <w:r w:rsidRPr="009A56DA">
            <w:fldChar w:fldCharType="separate"/>
          </w:r>
          <w:r w:rsidRPr="009A56DA">
            <w:rPr>
              <w:b/>
              <w:smallCaps/>
              <w:color w:val="000000"/>
              <w:sz w:val="20"/>
              <w:szCs w:val="20"/>
            </w:rPr>
            <w:t>Conceptual Framework and Operationalization</w:t>
          </w:r>
          <w:r w:rsidRPr="009A56DA">
            <w:rPr>
              <w:b/>
              <w:smallCaps/>
              <w:color w:val="000000"/>
              <w:sz w:val="20"/>
              <w:szCs w:val="20"/>
            </w:rPr>
            <w:tab/>
            <w:t>5</w:t>
          </w:r>
          <w:hyperlink w:anchor="_4d34og8" w:history="1"/>
        </w:p>
        <w:p w14:paraId="0D88ACEF" w14:textId="77777777" w:rsidR="00AF3F53" w:rsidRPr="009A56DA" w:rsidRDefault="00E20048">
          <w:pPr>
            <w:pBdr>
              <w:top w:val="nil"/>
              <w:left w:val="nil"/>
              <w:bottom w:val="nil"/>
              <w:right w:val="nil"/>
              <w:between w:val="nil"/>
            </w:pBdr>
            <w:tabs>
              <w:tab w:val="right" w:pos="9350"/>
            </w:tabs>
            <w:spacing w:after="0"/>
            <w:ind w:left="220" w:hanging="220"/>
            <w:rPr>
              <w:color w:val="000000"/>
            </w:rPr>
          </w:pPr>
          <w:r w:rsidRPr="009A56DA">
            <w:fldChar w:fldCharType="end"/>
          </w:r>
          <w:hyperlink w:anchor="_2s8eyo1">
            <w:r w:rsidRPr="009A56DA">
              <w:rPr>
                <w:b/>
                <w:i/>
                <w:smallCaps/>
                <w:color w:val="000000"/>
                <w:sz w:val="20"/>
                <w:szCs w:val="20"/>
              </w:rPr>
              <w:t>Description of the mHealth model for improving timeliness of vaccination</w:t>
            </w:r>
          </w:hyperlink>
          <w:hyperlink w:anchor="_2s8eyo1">
            <w:r w:rsidRPr="009A56DA">
              <w:rPr>
                <w:smallCaps/>
                <w:color w:val="000000"/>
                <w:sz w:val="20"/>
                <w:szCs w:val="20"/>
              </w:rPr>
              <w:tab/>
              <w:t>5</w:t>
            </w:r>
          </w:hyperlink>
        </w:p>
        <w:p w14:paraId="4F5EF1FD" w14:textId="77777777" w:rsidR="00AF3F53" w:rsidRPr="009A56DA" w:rsidRDefault="00243DC5">
          <w:pPr>
            <w:pBdr>
              <w:top w:val="nil"/>
              <w:left w:val="nil"/>
              <w:bottom w:val="nil"/>
              <w:right w:val="nil"/>
              <w:between w:val="nil"/>
            </w:pBdr>
            <w:tabs>
              <w:tab w:val="left" w:pos="660"/>
              <w:tab w:val="right" w:pos="9350"/>
            </w:tabs>
            <w:spacing w:before="120" w:after="120"/>
            <w:rPr>
              <w:color w:val="000000"/>
            </w:rPr>
          </w:pPr>
          <w:hyperlink w:anchor="_17dp8vu">
            <w:r w:rsidR="00E20048" w:rsidRPr="009A56DA">
              <w:rPr>
                <w:b/>
                <w:smallCaps/>
                <w:color w:val="000000"/>
                <w:sz w:val="20"/>
                <w:szCs w:val="20"/>
              </w:rPr>
              <w:t>VI.</w:t>
            </w:r>
          </w:hyperlink>
          <w:hyperlink w:anchor="_17dp8vu">
            <w:r w:rsidR="00E20048" w:rsidRPr="009A56DA">
              <w:rPr>
                <w:color w:val="000000"/>
              </w:rPr>
              <w:tab/>
            </w:r>
          </w:hyperlink>
          <w:r w:rsidR="00E20048" w:rsidRPr="009A56DA">
            <w:fldChar w:fldCharType="begin"/>
          </w:r>
          <w:r w:rsidR="00E20048" w:rsidRPr="009A56DA">
            <w:instrText xml:space="preserve"> PAGEREF _17dp8vu \h </w:instrText>
          </w:r>
          <w:r w:rsidR="00E20048" w:rsidRPr="009A56DA">
            <w:fldChar w:fldCharType="separate"/>
          </w:r>
          <w:r w:rsidR="00E20048" w:rsidRPr="009A56DA">
            <w:rPr>
              <w:b/>
              <w:smallCaps/>
              <w:color w:val="000000"/>
              <w:sz w:val="20"/>
              <w:szCs w:val="20"/>
            </w:rPr>
            <w:t>Hypotheses/research questions</w:t>
          </w:r>
          <w:r w:rsidR="00E20048" w:rsidRPr="009A56DA">
            <w:rPr>
              <w:b/>
              <w:smallCaps/>
              <w:color w:val="000000"/>
              <w:sz w:val="20"/>
              <w:szCs w:val="20"/>
            </w:rPr>
            <w:tab/>
            <w:t>6</w:t>
          </w:r>
          <w:hyperlink w:anchor="_17dp8vu" w:history="1"/>
        </w:p>
        <w:p w14:paraId="08765459" w14:textId="77777777" w:rsidR="00AF3F53" w:rsidRPr="009A56DA" w:rsidRDefault="00E20048">
          <w:pPr>
            <w:pBdr>
              <w:top w:val="nil"/>
              <w:left w:val="nil"/>
              <w:bottom w:val="nil"/>
              <w:right w:val="nil"/>
              <w:between w:val="nil"/>
            </w:pBdr>
            <w:tabs>
              <w:tab w:val="right" w:pos="9350"/>
            </w:tabs>
            <w:spacing w:before="120" w:after="120"/>
            <w:rPr>
              <w:color w:val="000000"/>
            </w:rPr>
          </w:pPr>
          <w:r w:rsidRPr="009A56DA">
            <w:fldChar w:fldCharType="end"/>
          </w:r>
          <w:hyperlink w:anchor="_3rdcrjn">
            <w:r w:rsidRPr="009A56DA">
              <w:rPr>
                <w:b/>
                <w:smallCaps/>
                <w:color w:val="000000"/>
                <w:sz w:val="20"/>
                <w:szCs w:val="20"/>
              </w:rPr>
              <w:t>VII. Study Design and Sampling Strategy</w:t>
            </w:r>
            <w:r w:rsidRPr="009A56DA">
              <w:rPr>
                <w:b/>
                <w:smallCaps/>
                <w:color w:val="000000"/>
                <w:sz w:val="20"/>
                <w:szCs w:val="20"/>
              </w:rPr>
              <w:tab/>
              <w:t>6</w:t>
            </w:r>
          </w:hyperlink>
        </w:p>
        <w:p w14:paraId="3E8EA137" w14:textId="77777777" w:rsidR="00AF3F53" w:rsidRPr="009A56DA" w:rsidRDefault="00243DC5">
          <w:pPr>
            <w:pBdr>
              <w:top w:val="nil"/>
              <w:left w:val="nil"/>
              <w:bottom w:val="nil"/>
              <w:right w:val="nil"/>
              <w:between w:val="nil"/>
            </w:pBdr>
            <w:tabs>
              <w:tab w:val="right" w:pos="9350"/>
            </w:tabs>
            <w:spacing w:after="0"/>
            <w:ind w:left="440" w:hanging="440"/>
            <w:rPr>
              <w:color w:val="000000"/>
            </w:rPr>
          </w:pPr>
          <w:hyperlink w:anchor="_26in1rg">
            <w:r w:rsidR="00E20048" w:rsidRPr="009A56DA">
              <w:rPr>
                <w:b/>
                <w:i/>
                <w:color w:val="000000"/>
                <w:sz w:val="20"/>
                <w:szCs w:val="20"/>
              </w:rPr>
              <w:t>Inclusion criteria</w:t>
            </w:r>
          </w:hyperlink>
          <w:hyperlink w:anchor="_26in1rg">
            <w:r w:rsidR="00E20048" w:rsidRPr="009A56DA">
              <w:rPr>
                <w:i/>
                <w:color w:val="000000"/>
                <w:sz w:val="20"/>
                <w:szCs w:val="20"/>
              </w:rPr>
              <w:tab/>
              <w:t>7</w:t>
            </w:r>
          </w:hyperlink>
        </w:p>
        <w:p w14:paraId="00CB8E61" w14:textId="77777777" w:rsidR="00AF3F53" w:rsidRPr="009A56DA" w:rsidRDefault="00243DC5">
          <w:pPr>
            <w:pBdr>
              <w:top w:val="nil"/>
              <w:left w:val="nil"/>
              <w:bottom w:val="nil"/>
              <w:right w:val="nil"/>
              <w:between w:val="nil"/>
            </w:pBdr>
            <w:tabs>
              <w:tab w:val="right" w:pos="9350"/>
            </w:tabs>
            <w:spacing w:after="0"/>
            <w:ind w:left="440" w:hanging="440"/>
            <w:rPr>
              <w:color w:val="000000"/>
            </w:rPr>
          </w:pPr>
          <w:hyperlink w:anchor="_lnxbz9">
            <w:r w:rsidR="00E20048" w:rsidRPr="009A56DA">
              <w:rPr>
                <w:b/>
                <w:i/>
                <w:color w:val="000000"/>
                <w:sz w:val="20"/>
                <w:szCs w:val="20"/>
              </w:rPr>
              <w:t>Exclusion criteria</w:t>
            </w:r>
          </w:hyperlink>
          <w:hyperlink w:anchor="_lnxbz9">
            <w:r w:rsidR="00E20048" w:rsidRPr="009A56DA">
              <w:rPr>
                <w:i/>
                <w:color w:val="000000"/>
                <w:sz w:val="20"/>
                <w:szCs w:val="20"/>
              </w:rPr>
              <w:tab/>
              <w:t>7</w:t>
            </w:r>
          </w:hyperlink>
        </w:p>
        <w:p w14:paraId="1C21D916" w14:textId="77777777" w:rsidR="00AF3F53" w:rsidRPr="009A56DA" w:rsidRDefault="00243DC5">
          <w:pPr>
            <w:pBdr>
              <w:top w:val="nil"/>
              <w:left w:val="nil"/>
              <w:bottom w:val="nil"/>
              <w:right w:val="nil"/>
              <w:between w:val="nil"/>
            </w:pBdr>
            <w:tabs>
              <w:tab w:val="right" w:pos="9350"/>
            </w:tabs>
            <w:spacing w:before="120" w:after="120"/>
            <w:rPr>
              <w:color w:val="000000"/>
            </w:rPr>
          </w:pPr>
          <w:hyperlink w:anchor="_35nkun2">
            <w:r w:rsidR="00E20048" w:rsidRPr="009A56DA">
              <w:rPr>
                <w:b/>
                <w:smallCaps/>
                <w:color w:val="000000"/>
                <w:sz w:val="20"/>
                <w:szCs w:val="20"/>
              </w:rPr>
              <w:t>VIII. Data Collection</w:t>
            </w:r>
            <w:r w:rsidR="00E20048" w:rsidRPr="009A56DA">
              <w:rPr>
                <w:b/>
                <w:smallCaps/>
                <w:color w:val="000000"/>
                <w:sz w:val="20"/>
                <w:szCs w:val="20"/>
              </w:rPr>
              <w:tab/>
              <w:t>8</w:t>
            </w:r>
          </w:hyperlink>
        </w:p>
        <w:p w14:paraId="5991DD29" w14:textId="77777777" w:rsidR="00AF3F53" w:rsidRPr="009A56DA" w:rsidRDefault="00243DC5">
          <w:pPr>
            <w:pBdr>
              <w:top w:val="nil"/>
              <w:left w:val="nil"/>
              <w:bottom w:val="nil"/>
              <w:right w:val="nil"/>
              <w:between w:val="nil"/>
            </w:pBdr>
            <w:tabs>
              <w:tab w:val="right" w:pos="9350"/>
            </w:tabs>
            <w:spacing w:after="0"/>
            <w:ind w:left="220" w:hanging="220"/>
            <w:rPr>
              <w:color w:val="000000"/>
            </w:rPr>
          </w:pPr>
          <w:hyperlink w:anchor="_1ksv4uv">
            <w:r w:rsidR="00E20048" w:rsidRPr="009A56DA">
              <w:rPr>
                <w:b/>
                <w:smallCaps/>
                <w:color w:val="000000"/>
                <w:sz w:val="20"/>
                <w:szCs w:val="20"/>
              </w:rPr>
              <w:t>b) Ethical considerations</w:t>
            </w:r>
          </w:hyperlink>
          <w:hyperlink w:anchor="_1ksv4uv">
            <w:r w:rsidR="00E20048" w:rsidRPr="009A56DA">
              <w:rPr>
                <w:smallCaps/>
                <w:color w:val="000000"/>
                <w:sz w:val="20"/>
                <w:szCs w:val="20"/>
              </w:rPr>
              <w:tab/>
              <w:t>9</w:t>
            </w:r>
          </w:hyperlink>
        </w:p>
        <w:p w14:paraId="4BDE4DC4" w14:textId="77777777" w:rsidR="00AF3F53" w:rsidRPr="009A56DA" w:rsidRDefault="00243DC5">
          <w:pPr>
            <w:pBdr>
              <w:top w:val="nil"/>
              <w:left w:val="nil"/>
              <w:bottom w:val="nil"/>
              <w:right w:val="nil"/>
              <w:between w:val="nil"/>
            </w:pBdr>
            <w:tabs>
              <w:tab w:val="right" w:pos="9350"/>
            </w:tabs>
            <w:spacing w:after="0"/>
            <w:ind w:left="440" w:hanging="440"/>
            <w:rPr>
              <w:color w:val="000000"/>
            </w:rPr>
          </w:pPr>
          <w:hyperlink w:anchor="_44sinio">
            <w:r w:rsidR="00E20048" w:rsidRPr="009A56DA">
              <w:rPr>
                <w:i/>
                <w:color w:val="000000"/>
                <w:sz w:val="20"/>
                <w:szCs w:val="20"/>
              </w:rPr>
              <w:t>Informed consent</w:t>
            </w:r>
            <w:r w:rsidR="00E20048" w:rsidRPr="009A56DA">
              <w:rPr>
                <w:i/>
                <w:color w:val="000000"/>
                <w:sz w:val="20"/>
                <w:szCs w:val="20"/>
              </w:rPr>
              <w:tab/>
              <w:t>9</w:t>
            </w:r>
          </w:hyperlink>
        </w:p>
        <w:p w14:paraId="2A5A2E86" w14:textId="77777777" w:rsidR="00AF3F53" w:rsidRPr="009A56DA" w:rsidRDefault="00243DC5">
          <w:pPr>
            <w:pBdr>
              <w:top w:val="nil"/>
              <w:left w:val="nil"/>
              <w:bottom w:val="nil"/>
              <w:right w:val="nil"/>
              <w:between w:val="nil"/>
            </w:pBdr>
            <w:tabs>
              <w:tab w:val="right" w:pos="9350"/>
            </w:tabs>
            <w:spacing w:after="0"/>
            <w:ind w:left="440" w:hanging="440"/>
            <w:rPr>
              <w:color w:val="000000"/>
            </w:rPr>
          </w:pPr>
          <w:hyperlink w:anchor="_2jxsxqh">
            <w:r w:rsidR="00E20048" w:rsidRPr="009A56DA">
              <w:rPr>
                <w:i/>
                <w:color w:val="000000"/>
                <w:sz w:val="20"/>
                <w:szCs w:val="20"/>
              </w:rPr>
              <w:t>Voluntary Participation.</w:t>
            </w:r>
            <w:r w:rsidR="00E20048" w:rsidRPr="009A56DA">
              <w:rPr>
                <w:i/>
                <w:color w:val="000000"/>
                <w:sz w:val="20"/>
                <w:szCs w:val="20"/>
              </w:rPr>
              <w:tab/>
              <w:t>9</w:t>
            </w:r>
          </w:hyperlink>
        </w:p>
        <w:p w14:paraId="60B787BF" w14:textId="77777777" w:rsidR="00AF3F53" w:rsidRPr="009A56DA" w:rsidRDefault="00243DC5">
          <w:pPr>
            <w:pBdr>
              <w:top w:val="nil"/>
              <w:left w:val="nil"/>
              <w:bottom w:val="nil"/>
              <w:right w:val="nil"/>
              <w:between w:val="nil"/>
            </w:pBdr>
            <w:tabs>
              <w:tab w:val="right" w:pos="9350"/>
            </w:tabs>
            <w:spacing w:after="0"/>
            <w:ind w:left="440" w:hanging="440"/>
            <w:rPr>
              <w:color w:val="000000"/>
            </w:rPr>
          </w:pPr>
          <w:hyperlink w:anchor="_z337ya">
            <w:r w:rsidR="00E20048" w:rsidRPr="009A56DA">
              <w:rPr>
                <w:i/>
                <w:color w:val="000000"/>
                <w:sz w:val="20"/>
                <w:szCs w:val="20"/>
              </w:rPr>
              <w:t>Confidentiality</w:t>
            </w:r>
            <w:r w:rsidR="00E20048" w:rsidRPr="009A56DA">
              <w:rPr>
                <w:i/>
                <w:color w:val="000000"/>
                <w:sz w:val="20"/>
                <w:szCs w:val="20"/>
              </w:rPr>
              <w:tab/>
              <w:t>9</w:t>
            </w:r>
          </w:hyperlink>
        </w:p>
        <w:p w14:paraId="7BDF85A5" w14:textId="77777777" w:rsidR="00AF3F53" w:rsidRPr="009A56DA" w:rsidRDefault="00243DC5">
          <w:pPr>
            <w:pBdr>
              <w:top w:val="nil"/>
              <w:left w:val="nil"/>
              <w:bottom w:val="nil"/>
              <w:right w:val="nil"/>
              <w:between w:val="nil"/>
            </w:pBdr>
            <w:tabs>
              <w:tab w:val="right" w:pos="9350"/>
            </w:tabs>
            <w:spacing w:after="0"/>
            <w:ind w:left="440" w:hanging="440"/>
            <w:rPr>
              <w:color w:val="000000"/>
            </w:rPr>
          </w:pPr>
          <w:hyperlink w:anchor="_3j2qqm3">
            <w:r w:rsidR="00E20048" w:rsidRPr="009A56DA">
              <w:rPr>
                <w:i/>
                <w:color w:val="000000"/>
                <w:sz w:val="20"/>
                <w:szCs w:val="20"/>
              </w:rPr>
              <w:t>Risk benefit assessment</w:t>
            </w:r>
            <w:r w:rsidR="00E20048" w:rsidRPr="009A56DA">
              <w:rPr>
                <w:i/>
                <w:color w:val="000000"/>
                <w:sz w:val="20"/>
                <w:szCs w:val="20"/>
              </w:rPr>
              <w:tab/>
              <w:t>9</w:t>
            </w:r>
          </w:hyperlink>
        </w:p>
        <w:p w14:paraId="49171449" w14:textId="77777777" w:rsidR="00AF3F53" w:rsidRPr="009A56DA" w:rsidRDefault="00243DC5">
          <w:pPr>
            <w:pBdr>
              <w:top w:val="nil"/>
              <w:left w:val="nil"/>
              <w:bottom w:val="nil"/>
              <w:right w:val="nil"/>
              <w:between w:val="nil"/>
            </w:pBdr>
            <w:tabs>
              <w:tab w:val="right" w:pos="9350"/>
            </w:tabs>
            <w:spacing w:after="0"/>
            <w:ind w:left="440" w:hanging="440"/>
            <w:rPr>
              <w:color w:val="000000"/>
            </w:rPr>
          </w:pPr>
          <w:hyperlink w:anchor="_1y810tw">
            <w:r w:rsidR="00E20048" w:rsidRPr="009A56DA">
              <w:rPr>
                <w:i/>
                <w:color w:val="000000"/>
                <w:sz w:val="20"/>
                <w:szCs w:val="20"/>
              </w:rPr>
              <w:t>Compensation</w:t>
            </w:r>
            <w:r w:rsidR="00E20048" w:rsidRPr="009A56DA">
              <w:rPr>
                <w:i/>
                <w:color w:val="000000"/>
                <w:sz w:val="20"/>
                <w:szCs w:val="20"/>
              </w:rPr>
              <w:tab/>
              <w:t>9</w:t>
            </w:r>
          </w:hyperlink>
        </w:p>
        <w:p w14:paraId="15720C6A" w14:textId="77777777" w:rsidR="00AF3F53" w:rsidRPr="009A56DA" w:rsidRDefault="00243DC5">
          <w:pPr>
            <w:pBdr>
              <w:top w:val="nil"/>
              <w:left w:val="nil"/>
              <w:bottom w:val="nil"/>
              <w:right w:val="nil"/>
              <w:between w:val="nil"/>
            </w:pBdr>
            <w:tabs>
              <w:tab w:val="right" w:pos="9350"/>
            </w:tabs>
            <w:spacing w:before="120" w:after="120"/>
            <w:rPr>
              <w:color w:val="000000"/>
            </w:rPr>
          </w:pPr>
          <w:hyperlink w:anchor="_4i7ojhp">
            <w:r w:rsidR="00E20048" w:rsidRPr="009A56DA">
              <w:rPr>
                <w:b/>
                <w:smallCaps/>
                <w:color w:val="000000"/>
                <w:sz w:val="20"/>
                <w:szCs w:val="20"/>
              </w:rPr>
              <w:t>IX. Data Processing and Analysis</w:t>
            </w:r>
            <w:r w:rsidR="00E20048" w:rsidRPr="009A56DA">
              <w:rPr>
                <w:b/>
                <w:smallCaps/>
                <w:color w:val="000000"/>
                <w:sz w:val="20"/>
                <w:szCs w:val="20"/>
              </w:rPr>
              <w:tab/>
              <w:t>9</w:t>
            </w:r>
          </w:hyperlink>
        </w:p>
        <w:p w14:paraId="5352F475" w14:textId="77777777" w:rsidR="00AF3F53" w:rsidRPr="009A56DA" w:rsidRDefault="00243DC5">
          <w:pPr>
            <w:pBdr>
              <w:top w:val="nil"/>
              <w:left w:val="nil"/>
              <w:bottom w:val="nil"/>
              <w:right w:val="nil"/>
              <w:between w:val="nil"/>
            </w:pBdr>
            <w:tabs>
              <w:tab w:val="right" w:pos="9350"/>
            </w:tabs>
            <w:spacing w:before="120" w:after="120"/>
            <w:rPr>
              <w:color w:val="000000"/>
            </w:rPr>
          </w:pPr>
          <w:hyperlink w:anchor="_1ci93xb">
            <w:r w:rsidR="00E20048" w:rsidRPr="009A56DA">
              <w:rPr>
                <w:b/>
                <w:smallCaps/>
                <w:color w:val="000000"/>
                <w:sz w:val="20"/>
                <w:szCs w:val="20"/>
              </w:rPr>
              <w:t>X. Plan for Communicating Findings of the Study</w:t>
            </w:r>
            <w:r w:rsidR="00E20048" w:rsidRPr="009A56DA">
              <w:rPr>
                <w:b/>
                <w:smallCaps/>
                <w:color w:val="000000"/>
                <w:sz w:val="20"/>
                <w:szCs w:val="20"/>
              </w:rPr>
              <w:tab/>
              <w:t>11</w:t>
            </w:r>
          </w:hyperlink>
        </w:p>
        <w:p w14:paraId="3078FDF4" w14:textId="77777777" w:rsidR="00AF3F53" w:rsidRPr="009A56DA" w:rsidRDefault="00243DC5">
          <w:pPr>
            <w:pBdr>
              <w:top w:val="nil"/>
              <w:left w:val="nil"/>
              <w:bottom w:val="nil"/>
              <w:right w:val="nil"/>
              <w:between w:val="nil"/>
            </w:pBdr>
            <w:tabs>
              <w:tab w:val="right" w:pos="9350"/>
            </w:tabs>
            <w:spacing w:before="120" w:after="120"/>
            <w:rPr>
              <w:color w:val="000000"/>
            </w:rPr>
          </w:pPr>
          <w:hyperlink w:anchor="_3whwml4">
            <w:r w:rsidR="00E20048" w:rsidRPr="009A56DA">
              <w:rPr>
                <w:b/>
                <w:smallCaps/>
                <w:color w:val="000000"/>
                <w:sz w:val="20"/>
                <w:szCs w:val="20"/>
              </w:rPr>
              <w:t>XI. Study Limitations and Risks</w:t>
            </w:r>
            <w:r w:rsidR="00E20048" w:rsidRPr="009A56DA">
              <w:rPr>
                <w:b/>
                <w:smallCaps/>
                <w:color w:val="000000"/>
                <w:sz w:val="20"/>
                <w:szCs w:val="20"/>
              </w:rPr>
              <w:tab/>
              <w:t>12</w:t>
            </w:r>
          </w:hyperlink>
        </w:p>
        <w:p w14:paraId="2CB33E20" w14:textId="77777777" w:rsidR="00AF3F53" w:rsidRPr="009A56DA" w:rsidRDefault="00243DC5">
          <w:pPr>
            <w:pBdr>
              <w:top w:val="nil"/>
              <w:left w:val="nil"/>
              <w:bottom w:val="nil"/>
              <w:right w:val="nil"/>
              <w:between w:val="nil"/>
            </w:pBdr>
            <w:tabs>
              <w:tab w:val="right" w:pos="9350"/>
            </w:tabs>
            <w:spacing w:before="120" w:after="120"/>
            <w:rPr>
              <w:color w:val="000000"/>
            </w:rPr>
          </w:pPr>
          <w:hyperlink w:anchor="_2bn6wsx">
            <w:r w:rsidR="00E20048" w:rsidRPr="009A56DA">
              <w:rPr>
                <w:b/>
                <w:smallCaps/>
                <w:color w:val="000000"/>
                <w:sz w:val="20"/>
                <w:szCs w:val="20"/>
              </w:rPr>
              <w:t>XII Management and organization of the study</w:t>
            </w:r>
            <w:r w:rsidR="00E20048" w:rsidRPr="009A56DA">
              <w:rPr>
                <w:b/>
                <w:smallCaps/>
                <w:color w:val="000000"/>
                <w:sz w:val="20"/>
                <w:szCs w:val="20"/>
              </w:rPr>
              <w:tab/>
              <w:t>12</w:t>
            </w:r>
          </w:hyperlink>
        </w:p>
        <w:p w14:paraId="73632C36" w14:textId="77777777" w:rsidR="00AF3F53" w:rsidRPr="009A56DA" w:rsidRDefault="00243DC5">
          <w:pPr>
            <w:pBdr>
              <w:top w:val="nil"/>
              <w:left w:val="nil"/>
              <w:bottom w:val="nil"/>
              <w:right w:val="nil"/>
              <w:between w:val="nil"/>
            </w:pBdr>
            <w:tabs>
              <w:tab w:val="right" w:pos="9350"/>
            </w:tabs>
            <w:spacing w:before="120" w:after="120"/>
            <w:rPr>
              <w:color w:val="000000"/>
            </w:rPr>
          </w:pPr>
          <w:hyperlink w:anchor="_qsh70q">
            <w:r w:rsidR="00E20048" w:rsidRPr="009A56DA">
              <w:rPr>
                <w:b/>
                <w:smallCaps/>
                <w:color w:val="000000"/>
                <w:sz w:val="20"/>
                <w:szCs w:val="20"/>
              </w:rPr>
              <w:t>XIII. Appendices and References</w:t>
            </w:r>
            <w:r w:rsidR="00E20048" w:rsidRPr="009A56DA">
              <w:rPr>
                <w:b/>
                <w:smallCaps/>
                <w:color w:val="000000"/>
                <w:sz w:val="20"/>
                <w:szCs w:val="20"/>
              </w:rPr>
              <w:tab/>
              <w:t>14</w:t>
            </w:r>
          </w:hyperlink>
        </w:p>
        <w:p w14:paraId="3EA4049C" w14:textId="77777777" w:rsidR="00AF3F53" w:rsidRPr="009A56DA" w:rsidRDefault="00E20048">
          <w:pPr>
            <w:rPr>
              <w:b/>
              <w:sz w:val="24"/>
              <w:szCs w:val="24"/>
            </w:rPr>
          </w:pPr>
          <w:r w:rsidRPr="009A56DA">
            <w:fldChar w:fldCharType="end"/>
          </w:r>
        </w:p>
      </w:sdtContent>
    </w:sdt>
    <w:p w14:paraId="3551AB37" w14:textId="77777777" w:rsidR="00AF3F53" w:rsidRPr="009A56DA" w:rsidRDefault="00E20048">
      <w:pPr>
        <w:rPr>
          <w:b/>
          <w:sz w:val="24"/>
          <w:szCs w:val="24"/>
        </w:rPr>
      </w:pPr>
      <w:r w:rsidRPr="009A56DA">
        <w:br w:type="page"/>
      </w:r>
    </w:p>
    <w:p w14:paraId="19222EF4" w14:textId="77777777" w:rsidR="00AF3F53" w:rsidRPr="009A56DA" w:rsidRDefault="00E20048">
      <w:pPr>
        <w:rPr>
          <w:b/>
          <w:sz w:val="28"/>
          <w:szCs w:val="28"/>
        </w:rPr>
      </w:pPr>
      <w:r w:rsidRPr="009A56DA">
        <w:rPr>
          <w:b/>
          <w:sz w:val="28"/>
          <w:szCs w:val="28"/>
        </w:rPr>
        <w:lastRenderedPageBreak/>
        <w:t>ACRONYMS</w:t>
      </w:r>
    </w:p>
    <w:p w14:paraId="4F70158A" w14:textId="77777777" w:rsidR="00AF3F53" w:rsidRPr="009A56DA" w:rsidRDefault="00E20048">
      <w:pPr>
        <w:spacing w:after="0" w:line="276" w:lineRule="auto"/>
        <w:rPr>
          <w:sz w:val="24"/>
          <w:szCs w:val="24"/>
        </w:rPr>
      </w:pPr>
      <w:r w:rsidRPr="009A56DA">
        <w:rPr>
          <w:sz w:val="24"/>
          <w:szCs w:val="24"/>
        </w:rPr>
        <w:t xml:space="preserve">APHRC: </w:t>
      </w:r>
      <w:r w:rsidRPr="009A56DA">
        <w:rPr>
          <w:sz w:val="24"/>
          <w:szCs w:val="24"/>
        </w:rPr>
        <w:tab/>
        <w:t>African Population and Health Research Center</w:t>
      </w:r>
    </w:p>
    <w:p w14:paraId="19F7333D" w14:textId="77777777" w:rsidR="00AF3F53" w:rsidRPr="009A56DA" w:rsidRDefault="00E20048">
      <w:pPr>
        <w:spacing w:after="0" w:line="276" w:lineRule="auto"/>
        <w:rPr>
          <w:sz w:val="24"/>
          <w:szCs w:val="24"/>
        </w:rPr>
      </w:pPr>
      <w:r w:rsidRPr="009A56DA">
        <w:rPr>
          <w:sz w:val="24"/>
          <w:szCs w:val="24"/>
        </w:rPr>
        <w:t xml:space="preserve">BCG: </w:t>
      </w:r>
      <w:r w:rsidRPr="009A56DA">
        <w:rPr>
          <w:sz w:val="24"/>
          <w:szCs w:val="24"/>
        </w:rPr>
        <w:tab/>
      </w:r>
      <w:r w:rsidRPr="009A56DA">
        <w:rPr>
          <w:sz w:val="24"/>
          <w:szCs w:val="24"/>
        </w:rPr>
        <w:tab/>
        <w:t>Bacille Calmette Guerin</w:t>
      </w:r>
    </w:p>
    <w:p w14:paraId="3B757869" w14:textId="75DC38CC" w:rsidR="00AF3F53" w:rsidRPr="009A56DA" w:rsidRDefault="00E20048">
      <w:pPr>
        <w:spacing w:after="0" w:line="276" w:lineRule="auto"/>
        <w:rPr>
          <w:sz w:val="24"/>
          <w:szCs w:val="24"/>
        </w:rPr>
      </w:pPr>
      <w:r w:rsidRPr="009A56DA">
        <w:rPr>
          <w:sz w:val="24"/>
          <w:szCs w:val="24"/>
        </w:rPr>
        <w:t xml:space="preserve">CHV: </w:t>
      </w:r>
      <w:r w:rsidRPr="009A56DA">
        <w:rPr>
          <w:sz w:val="24"/>
          <w:szCs w:val="24"/>
        </w:rPr>
        <w:tab/>
      </w:r>
      <w:r w:rsidRPr="009A56DA">
        <w:rPr>
          <w:sz w:val="24"/>
          <w:szCs w:val="24"/>
        </w:rPr>
        <w:tab/>
        <w:t>Community Health Volunteers</w:t>
      </w:r>
    </w:p>
    <w:p w14:paraId="24993867" w14:textId="0A889773" w:rsidR="00AF3F53" w:rsidRPr="009A56DA" w:rsidRDefault="00E20048">
      <w:pPr>
        <w:spacing w:after="0" w:line="276" w:lineRule="auto"/>
        <w:rPr>
          <w:sz w:val="24"/>
          <w:szCs w:val="24"/>
        </w:rPr>
      </w:pPr>
      <w:r w:rsidRPr="009A56DA">
        <w:rPr>
          <w:sz w:val="24"/>
          <w:szCs w:val="24"/>
        </w:rPr>
        <w:t xml:space="preserve">DPT: </w:t>
      </w:r>
      <w:r w:rsidRPr="009A56DA">
        <w:rPr>
          <w:sz w:val="24"/>
          <w:szCs w:val="24"/>
        </w:rPr>
        <w:tab/>
      </w:r>
      <w:r w:rsidRPr="009A56DA">
        <w:rPr>
          <w:sz w:val="24"/>
          <w:szCs w:val="24"/>
        </w:rPr>
        <w:tab/>
        <w:t>Diphtheria</w:t>
      </w:r>
      <w:r w:rsidR="00BA7DC4" w:rsidRPr="009A56DA">
        <w:rPr>
          <w:sz w:val="24"/>
          <w:szCs w:val="24"/>
        </w:rPr>
        <w:t>, Pertussis and</w:t>
      </w:r>
      <w:r w:rsidRPr="009A56DA">
        <w:rPr>
          <w:sz w:val="24"/>
          <w:szCs w:val="24"/>
        </w:rPr>
        <w:t xml:space="preserve"> Tetanus </w:t>
      </w:r>
    </w:p>
    <w:p w14:paraId="25157C3F" w14:textId="77777777" w:rsidR="00AF3F53" w:rsidRPr="009A56DA" w:rsidRDefault="00E20048">
      <w:pPr>
        <w:spacing w:after="0" w:line="276" w:lineRule="auto"/>
        <w:rPr>
          <w:sz w:val="24"/>
          <w:szCs w:val="24"/>
        </w:rPr>
      </w:pPr>
      <w:r w:rsidRPr="009A56DA">
        <w:rPr>
          <w:sz w:val="24"/>
          <w:szCs w:val="24"/>
        </w:rPr>
        <w:t xml:space="preserve">EHealth: </w:t>
      </w:r>
      <w:r w:rsidRPr="009A56DA">
        <w:rPr>
          <w:sz w:val="24"/>
          <w:szCs w:val="24"/>
        </w:rPr>
        <w:tab/>
        <w:t>Electronic Health</w:t>
      </w:r>
    </w:p>
    <w:p w14:paraId="444C3289" w14:textId="77777777" w:rsidR="00AF3F53" w:rsidRPr="009A56DA" w:rsidRDefault="00E20048">
      <w:pPr>
        <w:spacing w:after="0" w:line="276" w:lineRule="auto"/>
        <w:rPr>
          <w:sz w:val="24"/>
          <w:szCs w:val="24"/>
        </w:rPr>
      </w:pPr>
      <w:r w:rsidRPr="009A56DA">
        <w:rPr>
          <w:sz w:val="24"/>
          <w:szCs w:val="24"/>
        </w:rPr>
        <w:t xml:space="preserve">EIRs: </w:t>
      </w:r>
      <w:r w:rsidRPr="009A56DA">
        <w:rPr>
          <w:sz w:val="24"/>
          <w:szCs w:val="24"/>
        </w:rPr>
        <w:tab/>
      </w:r>
      <w:r w:rsidRPr="009A56DA">
        <w:rPr>
          <w:sz w:val="24"/>
          <w:szCs w:val="24"/>
        </w:rPr>
        <w:tab/>
        <w:t>Electronic Immunization Registries</w:t>
      </w:r>
    </w:p>
    <w:p w14:paraId="3A3B8DB5" w14:textId="77777777" w:rsidR="00AF3F53" w:rsidRPr="009A56DA" w:rsidRDefault="00E20048">
      <w:pPr>
        <w:spacing w:after="0" w:line="276" w:lineRule="auto"/>
        <w:rPr>
          <w:sz w:val="24"/>
          <w:szCs w:val="24"/>
        </w:rPr>
      </w:pPr>
      <w:r w:rsidRPr="009A56DA">
        <w:rPr>
          <w:sz w:val="24"/>
          <w:szCs w:val="24"/>
        </w:rPr>
        <w:t xml:space="preserve">ESRC: </w:t>
      </w:r>
      <w:r w:rsidRPr="009A56DA">
        <w:rPr>
          <w:sz w:val="24"/>
          <w:szCs w:val="24"/>
        </w:rPr>
        <w:tab/>
      </w:r>
      <w:r w:rsidRPr="009A56DA">
        <w:rPr>
          <w:sz w:val="24"/>
          <w:szCs w:val="24"/>
        </w:rPr>
        <w:tab/>
        <w:t>Ethical and Scientific review Committee</w:t>
      </w:r>
    </w:p>
    <w:p w14:paraId="19B82DBA" w14:textId="1C7BF2B5" w:rsidR="00AF3F53" w:rsidRPr="009A56DA" w:rsidRDefault="00E20048">
      <w:pPr>
        <w:spacing w:after="0" w:line="276" w:lineRule="auto"/>
        <w:rPr>
          <w:sz w:val="24"/>
          <w:szCs w:val="24"/>
        </w:rPr>
      </w:pPr>
      <w:r w:rsidRPr="009A56DA">
        <w:rPr>
          <w:sz w:val="24"/>
          <w:szCs w:val="24"/>
        </w:rPr>
        <w:t xml:space="preserve">HBV: </w:t>
      </w:r>
      <w:r w:rsidRPr="009A56DA">
        <w:rPr>
          <w:sz w:val="24"/>
          <w:szCs w:val="24"/>
        </w:rPr>
        <w:tab/>
      </w:r>
      <w:r w:rsidRPr="009A56DA">
        <w:rPr>
          <w:sz w:val="24"/>
          <w:szCs w:val="24"/>
        </w:rPr>
        <w:tab/>
        <w:t>Hepatitis B Vaccine</w:t>
      </w:r>
    </w:p>
    <w:p w14:paraId="16E42F7A" w14:textId="4AFE2653" w:rsidR="009F4DB0" w:rsidRPr="009A56DA" w:rsidRDefault="009F4DB0">
      <w:pPr>
        <w:spacing w:after="0" w:line="276" w:lineRule="auto"/>
        <w:rPr>
          <w:sz w:val="24"/>
          <w:szCs w:val="24"/>
        </w:rPr>
      </w:pPr>
      <w:r w:rsidRPr="009A56DA">
        <w:rPr>
          <w:sz w:val="24"/>
          <w:szCs w:val="24"/>
        </w:rPr>
        <w:t>ID :                     Unique Identifier</w:t>
      </w:r>
    </w:p>
    <w:p w14:paraId="49BEEB4C" w14:textId="77777777" w:rsidR="00AF3F53" w:rsidRPr="009A56DA" w:rsidRDefault="00E20048">
      <w:pPr>
        <w:spacing w:after="0" w:line="276" w:lineRule="auto"/>
        <w:rPr>
          <w:sz w:val="24"/>
          <w:szCs w:val="24"/>
        </w:rPr>
      </w:pPr>
      <w:r w:rsidRPr="009A56DA">
        <w:rPr>
          <w:sz w:val="24"/>
          <w:szCs w:val="24"/>
        </w:rPr>
        <w:t xml:space="preserve">LMIC: </w:t>
      </w:r>
      <w:r w:rsidRPr="009A56DA">
        <w:rPr>
          <w:sz w:val="24"/>
          <w:szCs w:val="24"/>
        </w:rPr>
        <w:tab/>
      </w:r>
      <w:r w:rsidRPr="009A56DA">
        <w:rPr>
          <w:sz w:val="24"/>
          <w:szCs w:val="24"/>
        </w:rPr>
        <w:tab/>
        <w:t>Low and Middle Income Countries</w:t>
      </w:r>
    </w:p>
    <w:p w14:paraId="3C559B53" w14:textId="77777777" w:rsidR="00AF3F53" w:rsidRPr="009A56DA" w:rsidRDefault="00E20048">
      <w:pPr>
        <w:spacing w:after="0" w:line="276" w:lineRule="auto"/>
        <w:rPr>
          <w:sz w:val="24"/>
          <w:szCs w:val="24"/>
        </w:rPr>
      </w:pPr>
      <w:r w:rsidRPr="009A56DA">
        <w:rPr>
          <w:sz w:val="24"/>
          <w:szCs w:val="24"/>
        </w:rPr>
        <w:t xml:space="preserve">MCH: </w:t>
      </w:r>
      <w:r w:rsidRPr="009A56DA">
        <w:rPr>
          <w:sz w:val="24"/>
          <w:szCs w:val="24"/>
        </w:rPr>
        <w:tab/>
      </w:r>
      <w:r w:rsidRPr="009A56DA">
        <w:rPr>
          <w:sz w:val="24"/>
          <w:szCs w:val="24"/>
        </w:rPr>
        <w:tab/>
        <w:t>Maternal and Child Health</w:t>
      </w:r>
    </w:p>
    <w:p w14:paraId="3B349B64" w14:textId="77777777" w:rsidR="00AF3F53" w:rsidRPr="009A56DA" w:rsidRDefault="00E20048">
      <w:pPr>
        <w:spacing w:after="0" w:line="276" w:lineRule="auto"/>
        <w:rPr>
          <w:sz w:val="24"/>
          <w:szCs w:val="24"/>
        </w:rPr>
      </w:pPr>
      <w:r w:rsidRPr="009A56DA">
        <w:rPr>
          <w:sz w:val="24"/>
          <w:szCs w:val="24"/>
        </w:rPr>
        <w:t xml:space="preserve">Mhealth: </w:t>
      </w:r>
      <w:r w:rsidRPr="009A56DA">
        <w:rPr>
          <w:sz w:val="24"/>
          <w:szCs w:val="24"/>
        </w:rPr>
        <w:tab/>
        <w:t>Mobile Health</w:t>
      </w:r>
    </w:p>
    <w:p w14:paraId="6C3A15CE" w14:textId="77777777" w:rsidR="00AF3F53" w:rsidRPr="009A56DA" w:rsidRDefault="00E20048">
      <w:pPr>
        <w:spacing w:after="0" w:line="276" w:lineRule="auto"/>
        <w:rPr>
          <w:sz w:val="24"/>
          <w:szCs w:val="24"/>
        </w:rPr>
      </w:pPr>
      <w:r w:rsidRPr="009A56DA">
        <w:rPr>
          <w:sz w:val="24"/>
          <w:szCs w:val="24"/>
        </w:rPr>
        <w:t xml:space="preserve">NUHDSS: </w:t>
      </w:r>
      <w:r w:rsidRPr="009A56DA">
        <w:rPr>
          <w:sz w:val="24"/>
          <w:szCs w:val="24"/>
        </w:rPr>
        <w:tab/>
        <w:t>Nairobi Urban Health and Demographic Surveillance System</w:t>
      </w:r>
    </w:p>
    <w:p w14:paraId="0B636ECF" w14:textId="77777777" w:rsidR="00AF3F53" w:rsidRPr="009A56DA" w:rsidRDefault="00E20048">
      <w:pPr>
        <w:spacing w:after="0" w:line="276" w:lineRule="auto"/>
        <w:rPr>
          <w:sz w:val="24"/>
          <w:szCs w:val="24"/>
        </w:rPr>
      </w:pPr>
      <w:r w:rsidRPr="009A56DA">
        <w:rPr>
          <w:sz w:val="24"/>
          <w:szCs w:val="24"/>
        </w:rPr>
        <w:t xml:space="preserve">ODK: </w:t>
      </w:r>
      <w:r w:rsidRPr="009A56DA">
        <w:rPr>
          <w:sz w:val="24"/>
          <w:szCs w:val="24"/>
        </w:rPr>
        <w:tab/>
      </w:r>
      <w:r w:rsidRPr="009A56DA">
        <w:rPr>
          <w:sz w:val="24"/>
          <w:szCs w:val="24"/>
        </w:rPr>
        <w:tab/>
        <w:t>Open Data Kit</w:t>
      </w:r>
    </w:p>
    <w:p w14:paraId="009EAF21" w14:textId="77777777" w:rsidR="00AF3F53" w:rsidRPr="009A56DA" w:rsidRDefault="00E20048">
      <w:pPr>
        <w:spacing w:after="0" w:line="276" w:lineRule="auto"/>
        <w:rPr>
          <w:sz w:val="24"/>
          <w:szCs w:val="24"/>
        </w:rPr>
      </w:pPr>
      <w:r w:rsidRPr="009A56DA">
        <w:rPr>
          <w:sz w:val="24"/>
          <w:szCs w:val="24"/>
        </w:rPr>
        <w:t xml:space="preserve">OPV: </w:t>
      </w:r>
      <w:r w:rsidRPr="009A56DA">
        <w:rPr>
          <w:sz w:val="24"/>
          <w:szCs w:val="24"/>
        </w:rPr>
        <w:tab/>
      </w:r>
      <w:r w:rsidRPr="009A56DA">
        <w:rPr>
          <w:sz w:val="24"/>
          <w:szCs w:val="24"/>
        </w:rPr>
        <w:tab/>
        <w:t>Oral Polio Vaccine</w:t>
      </w:r>
    </w:p>
    <w:p w14:paraId="62B133BE" w14:textId="77777777" w:rsidR="00AF3F53" w:rsidRPr="009A56DA" w:rsidRDefault="00E20048">
      <w:pPr>
        <w:spacing w:after="0" w:line="276" w:lineRule="auto"/>
        <w:rPr>
          <w:sz w:val="24"/>
          <w:szCs w:val="24"/>
        </w:rPr>
      </w:pPr>
      <w:r w:rsidRPr="009A56DA">
        <w:rPr>
          <w:sz w:val="24"/>
          <w:szCs w:val="24"/>
        </w:rPr>
        <w:t xml:space="preserve">SMS: </w:t>
      </w:r>
      <w:r w:rsidRPr="009A56DA">
        <w:rPr>
          <w:sz w:val="24"/>
          <w:szCs w:val="24"/>
        </w:rPr>
        <w:tab/>
      </w:r>
      <w:r w:rsidRPr="009A56DA">
        <w:rPr>
          <w:sz w:val="24"/>
          <w:szCs w:val="24"/>
        </w:rPr>
        <w:tab/>
        <w:t>Short Message Service</w:t>
      </w:r>
    </w:p>
    <w:p w14:paraId="431AE70D" w14:textId="77777777" w:rsidR="00AF3F53" w:rsidRPr="009A56DA" w:rsidRDefault="00E20048">
      <w:pPr>
        <w:spacing w:after="0" w:line="276" w:lineRule="auto"/>
        <w:rPr>
          <w:sz w:val="24"/>
          <w:szCs w:val="24"/>
        </w:rPr>
      </w:pPr>
      <w:r w:rsidRPr="009A56DA">
        <w:rPr>
          <w:sz w:val="24"/>
          <w:szCs w:val="24"/>
        </w:rPr>
        <w:t xml:space="preserve">SOP: </w:t>
      </w:r>
      <w:r w:rsidRPr="009A56DA">
        <w:rPr>
          <w:sz w:val="24"/>
          <w:szCs w:val="24"/>
        </w:rPr>
        <w:tab/>
      </w:r>
      <w:r w:rsidRPr="009A56DA">
        <w:rPr>
          <w:sz w:val="24"/>
          <w:szCs w:val="24"/>
        </w:rPr>
        <w:tab/>
        <w:t>Standard Operating Procedures</w:t>
      </w:r>
    </w:p>
    <w:p w14:paraId="7A1EB9A8" w14:textId="77777777" w:rsidR="00AF3F53" w:rsidRPr="009A56DA" w:rsidRDefault="00E20048">
      <w:pPr>
        <w:spacing w:after="0" w:line="276" w:lineRule="auto"/>
        <w:rPr>
          <w:sz w:val="24"/>
          <w:szCs w:val="24"/>
        </w:rPr>
      </w:pPr>
      <w:r w:rsidRPr="009A56DA">
        <w:rPr>
          <w:sz w:val="24"/>
          <w:szCs w:val="24"/>
        </w:rPr>
        <w:t xml:space="preserve">WHO: </w:t>
      </w:r>
      <w:r w:rsidRPr="009A56DA">
        <w:rPr>
          <w:sz w:val="24"/>
          <w:szCs w:val="24"/>
        </w:rPr>
        <w:tab/>
      </w:r>
      <w:r w:rsidRPr="009A56DA">
        <w:rPr>
          <w:sz w:val="24"/>
          <w:szCs w:val="24"/>
        </w:rPr>
        <w:tab/>
        <w:t>World Health Organization</w:t>
      </w:r>
    </w:p>
    <w:p w14:paraId="07C55D5E" w14:textId="77777777" w:rsidR="00AF3F53" w:rsidRPr="009A56DA" w:rsidRDefault="00E20048">
      <w:pPr>
        <w:rPr>
          <w:b/>
          <w:sz w:val="28"/>
          <w:szCs w:val="28"/>
        </w:rPr>
      </w:pPr>
      <w:r w:rsidRPr="009A56DA">
        <w:br w:type="page"/>
      </w:r>
    </w:p>
    <w:p w14:paraId="399B9207" w14:textId="2F742B65" w:rsidR="00AF3F53" w:rsidRPr="009A56DA" w:rsidRDefault="00E20048">
      <w:pPr>
        <w:rPr>
          <w:rFonts w:ascii="Arial" w:eastAsia="Arial" w:hAnsi="Arial" w:cs="Arial"/>
          <w:color w:val="222222"/>
          <w:sz w:val="19"/>
          <w:szCs w:val="19"/>
        </w:rPr>
      </w:pPr>
      <w:r w:rsidRPr="009A56DA">
        <w:rPr>
          <w:b/>
          <w:sz w:val="28"/>
          <w:szCs w:val="28"/>
        </w:rPr>
        <w:lastRenderedPageBreak/>
        <w:t>Title of Project: Improving the timeliness of administering birth dose vaccines using a digital platform in Nairobi slums</w:t>
      </w:r>
    </w:p>
    <w:p w14:paraId="203DD6D5" w14:textId="77777777" w:rsidR="00AF3F53" w:rsidRPr="009A56DA" w:rsidRDefault="00AF3F53">
      <w:pPr>
        <w:rPr>
          <w:b/>
          <w:sz w:val="28"/>
          <w:szCs w:val="28"/>
        </w:rPr>
      </w:pPr>
    </w:p>
    <w:p w14:paraId="7F677D5F" w14:textId="77777777" w:rsidR="00AF3F53" w:rsidRPr="009A56DA" w:rsidRDefault="00AF3F53">
      <w:pPr>
        <w:rPr>
          <w:b/>
          <w:sz w:val="28"/>
          <w:szCs w:val="28"/>
        </w:rPr>
      </w:pPr>
    </w:p>
    <w:p w14:paraId="4041971A" w14:textId="77777777" w:rsidR="00AF3F53" w:rsidRPr="009A56DA" w:rsidRDefault="00AF3F53">
      <w:pPr>
        <w:rPr>
          <w:b/>
          <w:sz w:val="28"/>
          <w:szCs w:val="28"/>
        </w:rPr>
      </w:pPr>
    </w:p>
    <w:p w14:paraId="2F4EA85F" w14:textId="77777777" w:rsidR="00AF3F53" w:rsidRPr="009A56DA" w:rsidRDefault="00E20048">
      <w:pPr>
        <w:spacing w:after="0" w:line="240" w:lineRule="auto"/>
        <w:jc w:val="both"/>
        <w:rPr>
          <w:b/>
          <w:sz w:val="28"/>
          <w:szCs w:val="28"/>
        </w:rPr>
      </w:pPr>
      <w:r w:rsidRPr="009A56DA">
        <w:rPr>
          <w:b/>
          <w:sz w:val="28"/>
          <w:szCs w:val="28"/>
        </w:rPr>
        <w:t>Investigators and Institutional Affiliations</w:t>
      </w:r>
    </w:p>
    <w:p w14:paraId="779E1BE0" w14:textId="77777777" w:rsidR="00AF3F53" w:rsidRPr="009A56DA" w:rsidRDefault="00AF3F53">
      <w:pPr>
        <w:spacing w:after="0" w:line="240" w:lineRule="auto"/>
        <w:jc w:val="both"/>
        <w:rPr>
          <w:b/>
          <w:sz w:val="28"/>
          <w:szCs w:val="28"/>
        </w:rPr>
      </w:pPr>
    </w:p>
    <w:p w14:paraId="07A058A4" w14:textId="77777777" w:rsidR="00AF3F53" w:rsidRPr="009A56DA" w:rsidRDefault="00E20048">
      <w:pPr>
        <w:spacing w:after="0" w:line="240" w:lineRule="auto"/>
        <w:rPr>
          <w:b/>
          <w:sz w:val="24"/>
          <w:szCs w:val="24"/>
        </w:rPr>
      </w:pPr>
      <w:r w:rsidRPr="009A56DA">
        <w:rPr>
          <w:b/>
          <w:sz w:val="24"/>
          <w:szCs w:val="24"/>
        </w:rPr>
        <w:t>African Population and Health Research Center (APHRC)</w:t>
      </w:r>
    </w:p>
    <w:p w14:paraId="2D752D39" w14:textId="1231562E" w:rsidR="00AF3F53" w:rsidRPr="009A56DA" w:rsidRDefault="00E20048">
      <w:pPr>
        <w:numPr>
          <w:ilvl w:val="0"/>
          <w:numId w:val="3"/>
        </w:numPr>
        <w:spacing w:after="0" w:line="240" w:lineRule="auto"/>
        <w:contextualSpacing/>
        <w:rPr>
          <w:b/>
          <w:sz w:val="24"/>
          <w:szCs w:val="24"/>
        </w:rPr>
      </w:pPr>
      <w:r w:rsidRPr="009A56DA">
        <w:rPr>
          <w:sz w:val="24"/>
          <w:szCs w:val="24"/>
        </w:rPr>
        <w:t xml:space="preserve">Gershim Asiki, Ph.D.                                            </w:t>
      </w:r>
      <w:r w:rsidR="00504123" w:rsidRPr="009A56DA">
        <w:rPr>
          <w:sz w:val="24"/>
          <w:szCs w:val="24"/>
        </w:rPr>
        <w:t xml:space="preserve">  </w:t>
      </w:r>
      <w:r w:rsidRPr="009A56DA">
        <w:rPr>
          <w:sz w:val="24"/>
          <w:szCs w:val="24"/>
        </w:rPr>
        <w:t>Principal Investigator</w:t>
      </w:r>
    </w:p>
    <w:p w14:paraId="0354AC8B" w14:textId="425D5922" w:rsidR="00AF3F53" w:rsidRPr="009A56DA" w:rsidRDefault="00E20048">
      <w:pPr>
        <w:numPr>
          <w:ilvl w:val="0"/>
          <w:numId w:val="3"/>
        </w:numPr>
        <w:spacing w:after="0" w:line="240" w:lineRule="auto"/>
        <w:contextualSpacing/>
        <w:rPr>
          <w:b/>
          <w:sz w:val="24"/>
          <w:szCs w:val="24"/>
        </w:rPr>
      </w:pPr>
      <w:r w:rsidRPr="009A56DA">
        <w:rPr>
          <w:sz w:val="24"/>
          <w:szCs w:val="24"/>
        </w:rPr>
        <w:t>Hermann Pythagore Pierre Donfouet, PhD</w:t>
      </w:r>
      <w:r w:rsidRPr="009A56DA">
        <w:rPr>
          <w:b/>
          <w:sz w:val="24"/>
          <w:szCs w:val="24"/>
        </w:rPr>
        <w:t xml:space="preserve">     </w:t>
      </w:r>
      <w:r w:rsidR="00504123" w:rsidRPr="009A56DA">
        <w:rPr>
          <w:b/>
          <w:sz w:val="24"/>
          <w:szCs w:val="24"/>
        </w:rPr>
        <w:t xml:space="preserve"> </w:t>
      </w:r>
      <w:r w:rsidRPr="009A56DA">
        <w:rPr>
          <w:sz w:val="24"/>
          <w:szCs w:val="24"/>
        </w:rPr>
        <w:t>Co-Principal Investigator</w:t>
      </w:r>
      <w:r w:rsidRPr="009A56DA">
        <w:rPr>
          <w:b/>
          <w:sz w:val="24"/>
          <w:szCs w:val="24"/>
        </w:rPr>
        <w:t xml:space="preserve">    </w:t>
      </w:r>
    </w:p>
    <w:p w14:paraId="626BF2E3" w14:textId="5A1ACDDD" w:rsidR="00AF3F53" w:rsidRPr="009A56DA" w:rsidRDefault="00E20048">
      <w:pPr>
        <w:numPr>
          <w:ilvl w:val="0"/>
          <w:numId w:val="3"/>
        </w:numPr>
        <w:spacing w:after="0" w:line="240" w:lineRule="auto"/>
        <w:contextualSpacing/>
        <w:rPr>
          <w:b/>
          <w:sz w:val="24"/>
          <w:szCs w:val="24"/>
        </w:rPr>
      </w:pPr>
      <w:r w:rsidRPr="009A56DA">
        <w:rPr>
          <w:sz w:val="24"/>
          <w:szCs w:val="24"/>
        </w:rPr>
        <w:t>Martin Kavao Mutua, Ph.D.                                Co-Investigator</w:t>
      </w:r>
    </w:p>
    <w:p w14:paraId="6251D69E" w14:textId="7B24805D" w:rsidR="00AF3F53" w:rsidRPr="009A56DA" w:rsidRDefault="00E20048">
      <w:pPr>
        <w:numPr>
          <w:ilvl w:val="0"/>
          <w:numId w:val="3"/>
        </w:numPr>
        <w:spacing w:after="0" w:line="240" w:lineRule="auto"/>
        <w:contextualSpacing/>
        <w:rPr>
          <w:b/>
          <w:sz w:val="24"/>
          <w:szCs w:val="24"/>
        </w:rPr>
      </w:pPr>
      <w:r w:rsidRPr="009A56DA">
        <w:rPr>
          <w:sz w:val="24"/>
          <w:szCs w:val="24"/>
        </w:rPr>
        <w:t xml:space="preserve">Elizabeth Kimani, Ph.D.                                       </w:t>
      </w:r>
      <w:r w:rsidR="00504123" w:rsidRPr="009A56DA">
        <w:rPr>
          <w:sz w:val="24"/>
          <w:szCs w:val="24"/>
        </w:rPr>
        <w:t xml:space="preserve"> </w:t>
      </w:r>
      <w:r w:rsidRPr="009A56DA">
        <w:rPr>
          <w:sz w:val="24"/>
          <w:szCs w:val="24"/>
        </w:rPr>
        <w:t>Co-Investigator</w:t>
      </w:r>
    </w:p>
    <w:p w14:paraId="78A3484E" w14:textId="77777777" w:rsidR="00AF3F53" w:rsidRPr="009A56DA" w:rsidRDefault="00E20048">
      <w:pPr>
        <w:numPr>
          <w:ilvl w:val="0"/>
          <w:numId w:val="3"/>
        </w:numPr>
        <w:spacing w:after="0" w:line="240" w:lineRule="auto"/>
        <w:contextualSpacing/>
        <w:rPr>
          <w:b/>
          <w:sz w:val="24"/>
          <w:szCs w:val="24"/>
        </w:rPr>
      </w:pPr>
      <w:r w:rsidRPr="009A56DA">
        <w:rPr>
          <w:sz w:val="24"/>
          <w:szCs w:val="24"/>
        </w:rPr>
        <w:t>Peter Otieno, MPH                                               Co-Investigator</w:t>
      </w:r>
    </w:p>
    <w:p w14:paraId="2B19E188" w14:textId="77777777" w:rsidR="00AF3F53" w:rsidRPr="009A56DA" w:rsidRDefault="00AF3F53">
      <w:pPr>
        <w:spacing w:after="0" w:line="240" w:lineRule="auto"/>
        <w:ind w:left="720"/>
        <w:rPr>
          <w:b/>
          <w:sz w:val="24"/>
          <w:szCs w:val="24"/>
        </w:rPr>
      </w:pPr>
    </w:p>
    <w:p w14:paraId="1AEDE85D" w14:textId="77777777" w:rsidR="00AF3F53" w:rsidRPr="009A56DA" w:rsidRDefault="00E20048">
      <w:pPr>
        <w:spacing w:before="240" w:after="0" w:line="240" w:lineRule="auto"/>
        <w:rPr>
          <w:b/>
          <w:sz w:val="24"/>
          <w:szCs w:val="24"/>
        </w:rPr>
      </w:pPr>
      <w:r w:rsidRPr="009A56DA">
        <w:rPr>
          <w:b/>
          <w:sz w:val="24"/>
          <w:szCs w:val="24"/>
        </w:rPr>
        <w:t>Collaborating Institution</w:t>
      </w:r>
    </w:p>
    <w:p w14:paraId="33F7F5FA" w14:textId="77777777" w:rsidR="00AF3F53" w:rsidRPr="009A56DA" w:rsidRDefault="00E20048">
      <w:pPr>
        <w:spacing w:before="240" w:after="0" w:line="240" w:lineRule="auto"/>
        <w:rPr>
          <w:b/>
          <w:sz w:val="24"/>
          <w:szCs w:val="24"/>
        </w:rPr>
      </w:pPr>
      <w:r w:rsidRPr="009A56DA">
        <w:rPr>
          <w:b/>
          <w:sz w:val="24"/>
          <w:szCs w:val="24"/>
        </w:rPr>
        <w:t xml:space="preserve">VAL partners </w:t>
      </w:r>
    </w:p>
    <w:p w14:paraId="4AA44885" w14:textId="16EF733C" w:rsidR="00AF3F53" w:rsidRPr="009A56DA" w:rsidRDefault="00E20048">
      <w:pPr>
        <w:numPr>
          <w:ilvl w:val="0"/>
          <w:numId w:val="10"/>
        </w:numPr>
        <w:pBdr>
          <w:top w:val="nil"/>
          <w:left w:val="nil"/>
          <w:bottom w:val="nil"/>
          <w:right w:val="nil"/>
          <w:between w:val="nil"/>
        </w:pBdr>
        <w:spacing w:after="0" w:line="240" w:lineRule="auto"/>
        <w:contextualSpacing/>
        <w:rPr>
          <w:color w:val="000000"/>
        </w:rPr>
      </w:pPr>
      <w:bookmarkStart w:id="3" w:name="_1fob9te" w:colFirst="0" w:colLast="0"/>
      <w:bookmarkEnd w:id="3"/>
      <w:r w:rsidRPr="009A56DA">
        <w:rPr>
          <w:color w:val="222222"/>
        </w:rPr>
        <w:t xml:space="preserve">Kumar Abhishek Khamrai, MBA                        </w:t>
      </w:r>
      <w:r w:rsidR="00504123" w:rsidRPr="009A56DA">
        <w:rPr>
          <w:color w:val="222222"/>
        </w:rPr>
        <w:t xml:space="preserve">   </w:t>
      </w:r>
      <w:r w:rsidRPr="009A56DA">
        <w:rPr>
          <w:color w:val="222222"/>
        </w:rPr>
        <w:t xml:space="preserve">Co-Investigator    </w:t>
      </w:r>
    </w:p>
    <w:p w14:paraId="1B7EE1D9" w14:textId="77777777" w:rsidR="00AF3F53" w:rsidRPr="009A56DA" w:rsidRDefault="00E20048">
      <w:pPr>
        <w:numPr>
          <w:ilvl w:val="0"/>
          <w:numId w:val="10"/>
        </w:numPr>
        <w:pBdr>
          <w:top w:val="nil"/>
          <w:left w:val="nil"/>
          <w:bottom w:val="nil"/>
          <w:right w:val="nil"/>
          <w:between w:val="nil"/>
        </w:pBdr>
        <w:spacing w:after="0" w:line="240" w:lineRule="auto"/>
        <w:contextualSpacing/>
        <w:rPr>
          <w:color w:val="000000"/>
        </w:rPr>
      </w:pPr>
      <w:r w:rsidRPr="009A56DA">
        <w:rPr>
          <w:color w:val="000000"/>
        </w:rPr>
        <w:t>Dominic Muindi, M.A (management)                 Co-Investigator</w:t>
      </w:r>
    </w:p>
    <w:p w14:paraId="6DAAF8E7" w14:textId="77777777" w:rsidR="00AF3F53" w:rsidRPr="009A56DA" w:rsidRDefault="00AF3F53">
      <w:pPr>
        <w:spacing w:after="0" w:line="240" w:lineRule="auto"/>
        <w:rPr>
          <w:b/>
          <w:sz w:val="24"/>
          <w:szCs w:val="24"/>
        </w:rPr>
      </w:pPr>
    </w:p>
    <w:p w14:paraId="531BA32A" w14:textId="77777777" w:rsidR="00AF3F53" w:rsidRPr="009A56DA" w:rsidRDefault="00E20048">
      <w:pPr>
        <w:spacing w:after="0" w:line="240" w:lineRule="auto"/>
        <w:rPr>
          <w:b/>
          <w:sz w:val="24"/>
          <w:szCs w:val="24"/>
        </w:rPr>
      </w:pPr>
      <w:r w:rsidRPr="009A56DA">
        <w:rPr>
          <w:b/>
          <w:sz w:val="24"/>
          <w:szCs w:val="24"/>
        </w:rPr>
        <w:t>Funding Source</w:t>
      </w:r>
    </w:p>
    <w:p w14:paraId="664F55CD" w14:textId="77777777" w:rsidR="00AF3F53" w:rsidRPr="009A56DA" w:rsidRDefault="00E20048">
      <w:pPr>
        <w:spacing w:before="120" w:line="240" w:lineRule="auto"/>
        <w:rPr>
          <w:sz w:val="24"/>
          <w:szCs w:val="24"/>
        </w:rPr>
      </w:pPr>
      <w:r w:rsidRPr="009A56DA">
        <w:rPr>
          <w:sz w:val="24"/>
          <w:szCs w:val="24"/>
        </w:rPr>
        <w:t>Bill and Melinda Gates Foundation: Grand Challenges Explorations Round 20</w:t>
      </w:r>
    </w:p>
    <w:p w14:paraId="0C9B879F" w14:textId="77777777" w:rsidR="00AF3F53" w:rsidRPr="009A56DA" w:rsidRDefault="00E20048">
      <w:pPr>
        <w:rPr>
          <w:sz w:val="24"/>
          <w:szCs w:val="24"/>
        </w:rPr>
      </w:pPr>
      <w:r w:rsidRPr="009A56DA">
        <w:br w:type="page"/>
      </w:r>
    </w:p>
    <w:p w14:paraId="553E3F0E" w14:textId="035FF62C" w:rsidR="00AF3F53" w:rsidRPr="009A56DA" w:rsidRDefault="00E20048" w:rsidP="00687A72">
      <w:pPr>
        <w:pStyle w:val="Heading1"/>
        <w:rPr>
          <w:b/>
          <w:color w:val="000000"/>
          <w:sz w:val="28"/>
          <w:szCs w:val="28"/>
        </w:rPr>
      </w:pPr>
      <w:bookmarkStart w:id="4" w:name="_3znysh7" w:colFirst="0" w:colLast="0"/>
      <w:bookmarkEnd w:id="4"/>
      <w:r w:rsidRPr="009A56DA">
        <w:rPr>
          <w:b/>
          <w:color w:val="000000"/>
          <w:sz w:val="28"/>
          <w:szCs w:val="28"/>
        </w:rPr>
        <w:lastRenderedPageBreak/>
        <w:t>Abstract</w:t>
      </w:r>
    </w:p>
    <w:p w14:paraId="5005E31D" w14:textId="7EA64CC8" w:rsidR="00AF3F53" w:rsidRPr="009A56DA" w:rsidRDefault="00E20048">
      <w:pPr>
        <w:pBdr>
          <w:top w:val="nil"/>
          <w:left w:val="nil"/>
          <w:bottom w:val="nil"/>
          <w:right w:val="nil"/>
          <w:between w:val="nil"/>
        </w:pBdr>
        <w:spacing w:after="120" w:line="240" w:lineRule="auto"/>
        <w:jc w:val="both"/>
      </w:pPr>
      <w:r w:rsidRPr="009A56DA">
        <w:rPr>
          <w:b/>
          <w:color w:val="000000"/>
        </w:rPr>
        <w:t>Background</w:t>
      </w:r>
      <w:r w:rsidRPr="009A56DA">
        <w:rPr>
          <w:color w:val="000000"/>
        </w:rPr>
        <w:t xml:space="preserve">: </w:t>
      </w:r>
      <w:r w:rsidRPr="009A56DA">
        <w:t>Vaccine preventable diseases still contribute substantially to child mortality in sub-Saharan Africa. Delays in administering vaccines within the recommended age group increase the risk of infection because of a prolonged potential exposure to vaccine-preventable diseases. Birth dose vaccines are administered late, due to fragmented systems of delivery, recording and communication between maternal health and child health services. Understanding these deficiencies presents opportunities for improving timely vaccinations at birth.</w:t>
      </w:r>
    </w:p>
    <w:p w14:paraId="0CE6A003" w14:textId="16B188E0" w:rsidR="00AF3F53" w:rsidRPr="009A56DA" w:rsidRDefault="00E20048">
      <w:pPr>
        <w:spacing w:after="0" w:line="240" w:lineRule="auto"/>
        <w:jc w:val="both"/>
        <w:rPr>
          <w:color w:val="000000"/>
        </w:rPr>
      </w:pPr>
      <w:r w:rsidRPr="009A56DA">
        <w:rPr>
          <w:b/>
          <w:color w:val="000000"/>
        </w:rPr>
        <w:t>Objective</w:t>
      </w:r>
      <w:r w:rsidRPr="009A56DA">
        <w:rPr>
          <w:color w:val="000000"/>
        </w:rPr>
        <w:t xml:space="preserve">: </w:t>
      </w:r>
      <w:r w:rsidRPr="009A56DA">
        <w:t xml:space="preserve">The main aim of this study is to assess the effectiveness of community health volunteers (CHVs) and healthcare workers using </w:t>
      </w:r>
      <w:r w:rsidRPr="009A56DA">
        <w:rPr>
          <w:color w:val="000000"/>
        </w:rPr>
        <w:t xml:space="preserve">an electronic immunization registry consisting of a digital platform, web-based database and health text messages to improve timeliness of administering birth dose vaccines </w:t>
      </w:r>
      <w:r w:rsidR="00FC5697" w:rsidRPr="009A56DA">
        <w:rPr>
          <w:color w:val="000000"/>
        </w:rPr>
        <w:t xml:space="preserve">such as </w:t>
      </w:r>
      <w:r w:rsidR="00FC5697" w:rsidRPr="009A56DA">
        <w:rPr>
          <w:sz w:val="24"/>
          <w:szCs w:val="24"/>
        </w:rPr>
        <w:t>Bacille Calmette Guerin</w:t>
      </w:r>
      <w:r w:rsidR="00FC5697" w:rsidRPr="009A56DA">
        <w:rPr>
          <w:color w:val="000000"/>
        </w:rPr>
        <w:t xml:space="preserve"> </w:t>
      </w:r>
      <w:r w:rsidRPr="009A56DA">
        <w:rPr>
          <w:color w:val="000000"/>
        </w:rPr>
        <w:t>(BCG</w:t>
      </w:r>
      <w:r w:rsidR="00FC5697" w:rsidRPr="009A56DA">
        <w:rPr>
          <w:color w:val="000000"/>
        </w:rPr>
        <w:t>)</w:t>
      </w:r>
      <w:r w:rsidRPr="009A56DA">
        <w:rPr>
          <w:color w:val="000000"/>
        </w:rPr>
        <w:t xml:space="preserve"> and </w:t>
      </w:r>
      <w:r w:rsidR="00FC5697" w:rsidRPr="009A56DA">
        <w:rPr>
          <w:sz w:val="24"/>
          <w:szCs w:val="24"/>
        </w:rPr>
        <w:t>Oral Polio Vaccine</w:t>
      </w:r>
      <w:r w:rsidR="00FC5697" w:rsidRPr="009A56DA">
        <w:rPr>
          <w:color w:val="000000"/>
        </w:rPr>
        <w:t xml:space="preserve"> (</w:t>
      </w:r>
      <w:r w:rsidRPr="009A56DA">
        <w:rPr>
          <w:color w:val="000000"/>
        </w:rPr>
        <w:t>OPV) in Nairobi slums.</w:t>
      </w:r>
    </w:p>
    <w:p w14:paraId="069549B7" w14:textId="77777777" w:rsidR="00AF3F53" w:rsidRPr="009A56DA" w:rsidRDefault="00AF3F53">
      <w:pPr>
        <w:spacing w:after="0" w:line="240" w:lineRule="auto"/>
        <w:rPr>
          <w:b/>
        </w:rPr>
      </w:pPr>
    </w:p>
    <w:p w14:paraId="2839B4EB" w14:textId="41D5154C" w:rsidR="00AF3F53" w:rsidRPr="009A56DA" w:rsidRDefault="00E20048">
      <w:pPr>
        <w:pBdr>
          <w:top w:val="nil"/>
          <w:left w:val="nil"/>
          <w:bottom w:val="nil"/>
          <w:right w:val="nil"/>
          <w:between w:val="nil"/>
        </w:pBdr>
        <w:spacing w:after="120" w:line="240" w:lineRule="auto"/>
        <w:jc w:val="both"/>
        <w:rPr>
          <w:color w:val="000000"/>
        </w:rPr>
      </w:pPr>
      <w:r w:rsidRPr="009A56DA">
        <w:rPr>
          <w:b/>
        </w:rPr>
        <w:t xml:space="preserve">Methodology: </w:t>
      </w:r>
      <w:r w:rsidRPr="009A56DA">
        <w:t>Through a cross-sectional stepped wedge design,</w:t>
      </w:r>
      <w:r w:rsidRPr="009A56DA">
        <w:rPr>
          <w:b/>
        </w:rPr>
        <w:t xml:space="preserve"> </w:t>
      </w:r>
      <w:r w:rsidRPr="009A56DA">
        <w:t xml:space="preserve">the intervention consisting of </w:t>
      </w:r>
      <w:r w:rsidRPr="009A56DA">
        <w:rPr>
          <w:color w:val="000000"/>
        </w:rPr>
        <w:t>interaction between CHVs, pregnant women and healthcare workers using a digital platform linked to a central registry will be implemented in eight villages in Viwandani (</w:t>
      </w:r>
      <w:r w:rsidRPr="009A56DA">
        <w:t>a site for the</w:t>
      </w:r>
      <w:r w:rsidRPr="009A56DA">
        <w:rPr>
          <w:color w:val="000000"/>
        </w:rPr>
        <w:t xml:space="preserve"> Nairobi Health and Demographic Surveillance System). CHVs or healthcare workers will register pregnant women at home or health facility and automatically send tailored text messages from a central server, encouraging timely vaccination uptake. The project will test the feasibility of CHVs or healthcare workers using the platform and the effectiveness including cost-effectiveness of the intervention. Interviews will be conducted with women with infants at baseline and the introduction of the intervention into clusters (villages) to measure the effect of the intervention on timeliness of birth dose vaccines. </w:t>
      </w:r>
    </w:p>
    <w:p w14:paraId="48DE6121" w14:textId="77777777" w:rsidR="00AF3F53" w:rsidRPr="009A56DA" w:rsidRDefault="00E20048">
      <w:pPr>
        <w:pBdr>
          <w:top w:val="nil"/>
          <w:left w:val="nil"/>
          <w:bottom w:val="nil"/>
          <w:right w:val="nil"/>
          <w:between w:val="nil"/>
        </w:pBdr>
        <w:spacing w:after="120" w:line="240" w:lineRule="auto"/>
        <w:jc w:val="both"/>
      </w:pPr>
      <w:r w:rsidRPr="009A56DA">
        <w:rPr>
          <w:b/>
          <w:color w:val="000000"/>
        </w:rPr>
        <w:t>Duration and budget:</w:t>
      </w:r>
      <w:r w:rsidRPr="009A56DA">
        <w:rPr>
          <w:color w:val="000000"/>
        </w:rPr>
        <w:t xml:space="preserve"> </w:t>
      </w:r>
      <w:r w:rsidRPr="009A56DA">
        <w:t xml:space="preserve">The duration of the project is 18 months and </w:t>
      </w:r>
      <w:r w:rsidRPr="009A56DA">
        <w:rPr>
          <w:color w:val="000000"/>
        </w:rPr>
        <w:t>the total budget will be USD 100,000.</w:t>
      </w:r>
    </w:p>
    <w:p w14:paraId="16410CF4" w14:textId="3797D5A6" w:rsidR="00AF3F53" w:rsidRPr="009A56DA" w:rsidRDefault="00E20048">
      <w:pPr>
        <w:pBdr>
          <w:top w:val="nil"/>
          <w:left w:val="nil"/>
          <w:bottom w:val="nil"/>
          <w:right w:val="nil"/>
          <w:between w:val="nil"/>
        </w:pBdr>
        <w:spacing w:after="120" w:line="240" w:lineRule="auto"/>
        <w:jc w:val="both"/>
      </w:pPr>
      <w:r w:rsidRPr="009A56DA">
        <w:rPr>
          <w:b/>
          <w:color w:val="000000"/>
        </w:rPr>
        <w:t>Conclusion:</w:t>
      </w:r>
      <w:r w:rsidRPr="009A56DA">
        <w:rPr>
          <w:color w:val="000000"/>
        </w:rPr>
        <w:t xml:space="preserve"> </w:t>
      </w:r>
      <w:r w:rsidRPr="009A56DA">
        <w:t xml:space="preserve">The expected findings generated from this study will include the feasibility and effectiveness of using the digital platform for improving timely vaccinations and these will be used to inform the design of a large trial in other settings. Within the larger trial we hope to also measure the impact of the intervention on infant survival. The digital platform will be customized based on recommendations from this study to include additional features such as health sensitization videos. </w:t>
      </w:r>
    </w:p>
    <w:p w14:paraId="589A9793" w14:textId="77777777" w:rsidR="00AF3F53" w:rsidRPr="009A56DA" w:rsidRDefault="00E20048">
      <w:r w:rsidRPr="009A56DA">
        <w:br w:type="page"/>
      </w:r>
    </w:p>
    <w:p w14:paraId="3DB5BF50" w14:textId="77777777" w:rsidR="00AF3F53" w:rsidRPr="009A56DA" w:rsidRDefault="00AF3F53">
      <w:pPr>
        <w:pBdr>
          <w:top w:val="nil"/>
          <w:left w:val="nil"/>
          <w:bottom w:val="nil"/>
          <w:right w:val="nil"/>
          <w:between w:val="nil"/>
        </w:pBdr>
        <w:spacing w:before="120" w:after="0" w:line="240" w:lineRule="auto"/>
        <w:ind w:left="1080" w:hanging="720"/>
        <w:rPr>
          <w:b/>
          <w:color w:val="000000"/>
          <w:sz w:val="28"/>
          <w:szCs w:val="28"/>
        </w:rPr>
        <w:sectPr w:rsidR="00AF3F53" w:rsidRPr="009A56DA">
          <w:footerReference w:type="default" r:id="rId7"/>
          <w:pgSz w:w="12240" w:h="15840"/>
          <w:pgMar w:top="1440" w:right="1440" w:bottom="1440" w:left="1440" w:header="720" w:footer="720" w:gutter="0"/>
          <w:pgNumType w:start="1"/>
          <w:cols w:space="720"/>
          <w:titlePg/>
        </w:sectPr>
      </w:pPr>
    </w:p>
    <w:p w14:paraId="007942E6" w14:textId="77777777" w:rsidR="00AF3F53" w:rsidRPr="009A56DA" w:rsidRDefault="00E20048">
      <w:pPr>
        <w:numPr>
          <w:ilvl w:val="0"/>
          <w:numId w:val="8"/>
        </w:numPr>
        <w:pBdr>
          <w:top w:val="nil"/>
          <w:left w:val="nil"/>
          <w:bottom w:val="nil"/>
          <w:right w:val="nil"/>
          <w:between w:val="nil"/>
        </w:pBdr>
        <w:spacing w:after="0" w:line="240" w:lineRule="auto"/>
        <w:contextualSpacing/>
        <w:rPr>
          <w:b/>
          <w:color w:val="000000"/>
          <w:sz w:val="28"/>
          <w:szCs w:val="28"/>
        </w:rPr>
      </w:pPr>
      <w:bookmarkStart w:id="5" w:name="_2et92p0" w:colFirst="0" w:colLast="0"/>
      <w:bookmarkEnd w:id="5"/>
      <w:r w:rsidRPr="009A56DA">
        <w:rPr>
          <w:b/>
          <w:color w:val="000000"/>
          <w:sz w:val="28"/>
          <w:szCs w:val="28"/>
        </w:rPr>
        <w:lastRenderedPageBreak/>
        <w:t>Background</w:t>
      </w:r>
    </w:p>
    <w:p w14:paraId="47081512" w14:textId="0F726EEE" w:rsidR="00AF3F53" w:rsidRPr="009A56DA" w:rsidRDefault="00E20048">
      <w:pPr>
        <w:spacing w:after="0" w:line="240" w:lineRule="auto"/>
        <w:jc w:val="both"/>
      </w:pPr>
      <w:r w:rsidRPr="009A56DA">
        <w:t xml:space="preserve">Globally, under-five mortality has dropped by 56% (from 93 to 41 deaths per 1,000 live births) between 1990 and 2016, with neonatal deaths accounting for about half of this mortality and sub-Saharan Africa alone contributed 38% of all neonatal deaths [1]. Most of the deaths resulted from vaccine-preventable causes. </w:t>
      </w:r>
      <w:r w:rsidRPr="009A56DA">
        <w:rPr>
          <w:color w:val="000000"/>
        </w:rPr>
        <w:t xml:space="preserve">Annually, immunization programs were estimated to have saved more than 2.5 million lives worldwide [2]. </w:t>
      </w:r>
      <w:r w:rsidRPr="009A56DA">
        <w:t xml:space="preserve">The Expanded Program on Immunization (EPI) was established in 1974 to ensure universal availability of key life-saving vaccines to children in the developing world. In 1984, the World Health Organization (WHO) established a standard schedule for all the essential vaccines targeting optimal points of early childhood in order to allow children to develop immunity safely, effectively and as early as possible. The schedule was designed to address age-specific risks of disease, age-specific risks of complications and age-specific patterns of immunity [3, 4]. Although Low- and middle-income countries (LMIC) follow the WHO EPI schedule, most vaccines are administered outside the required schedule. </w:t>
      </w:r>
    </w:p>
    <w:p w14:paraId="1C1D3121" w14:textId="77777777" w:rsidR="00AF3F53" w:rsidRPr="009A56DA" w:rsidRDefault="00AF3F53">
      <w:pPr>
        <w:spacing w:after="0" w:line="240" w:lineRule="auto"/>
        <w:jc w:val="both"/>
      </w:pPr>
    </w:p>
    <w:p w14:paraId="26F278E9" w14:textId="77777777" w:rsidR="00AF3F53" w:rsidRPr="009A56DA" w:rsidRDefault="00E20048">
      <w:pPr>
        <w:spacing w:after="0" w:line="240" w:lineRule="auto"/>
        <w:jc w:val="both"/>
        <w:rPr>
          <w:color w:val="000000"/>
        </w:rPr>
      </w:pPr>
      <w:r w:rsidRPr="009A56DA">
        <w:t xml:space="preserve">Timely administration of the vaccines is important because immunizations that are received too early can significantly shorten the duration of protection, decrease overall levels of protection and even lead to complications due to interactions with immunity patterns [4]. Delays in administering vaccines within the recommended age group increase the risk of infection because of a prolonged potential exposure to vaccine-preventable diseases. Factors related to supply and demand of vaccines lead to delays in the administration of vaccines. On the supply side, factors such as weak supply chain systems, poor health management information systems, poor access to health services and poor provider performance are cited as responsible for untimely vaccinations [5]. Demand-side factors include </w:t>
      </w:r>
      <w:r w:rsidRPr="009A56DA">
        <w:rPr>
          <w:color w:val="000000"/>
        </w:rPr>
        <w:t xml:space="preserve">living in urban and peri-urban settings, long distance from vaccination delivery points, ethnicity, and low maternal education among others [5, 6]. There is need to address the challenges of late vaccine administration to maximize the value of vaccines. </w:t>
      </w:r>
    </w:p>
    <w:p w14:paraId="3F1545C8" w14:textId="77777777" w:rsidR="00AF3F53" w:rsidRPr="009A56DA" w:rsidRDefault="00AF3F53">
      <w:pPr>
        <w:spacing w:after="0" w:line="240" w:lineRule="auto"/>
      </w:pPr>
    </w:p>
    <w:p w14:paraId="2E22D9E8" w14:textId="77777777" w:rsidR="00AF3F53" w:rsidRPr="009A56DA" w:rsidRDefault="00E20048">
      <w:pPr>
        <w:numPr>
          <w:ilvl w:val="0"/>
          <w:numId w:val="8"/>
        </w:numPr>
        <w:pBdr>
          <w:top w:val="nil"/>
          <w:left w:val="nil"/>
          <w:bottom w:val="nil"/>
          <w:right w:val="nil"/>
          <w:between w:val="nil"/>
        </w:pBdr>
        <w:spacing w:after="0" w:line="240" w:lineRule="auto"/>
        <w:contextualSpacing/>
        <w:rPr>
          <w:b/>
          <w:color w:val="000000"/>
          <w:sz w:val="28"/>
          <w:szCs w:val="28"/>
        </w:rPr>
      </w:pPr>
      <w:bookmarkStart w:id="6" w:name="_tyjcwt" w:colFirst="0" w:colLast="0"/>
      <w:bookmarkEnd w:id="6"/>
      <w:r w:rsidRPr="009A56DA">
        <w:rPr>
          <w:b/>
          <w:color w:val="000000"/>
          <w:sz w:val="28"/>
          <w:szCs w:val="28"/>
        </w:rPr>
        <w:t>Problem Statement/Justification</w:t>
      </w:r>
    </w:p>
    <w:p w14:paraId="0A0E615E" w14:textId="3DC3901C" w:rsidR="00AF3F53" w:rsidRPr="009A56DA" w:rsidRDefault="00E20048">
      <w:pPr>
        <w:spacing w:before="120" w:after="0" w:line="240" w:lineRule="auto"/>
        <w:jc w:val="both"/>
      </w:pPr>
      <w:r w:rsidRPr="009A56DA">
        <w:t xml:space="preserve">Although vaccination programs are known to play a critical role in improving child survival [7], timeliness of administration has been an obstacle particularly for vaccines administered at birth in LMICs: Hepatitis B virus (HBV) vaccine, Bacillus Calmette-Guerin (BCG) and oral polio vaccine (OPV) with very low rates of timely vaccination reported at birth [8-10]. Late vaccinations lead to reduced levels of protection and significant exposure to vaccine preventable diseases [11, 12]. The design of most vaccination programs in LMICs </w:t>
      </w:r>
      <w:r w:rsidR="00504123" w:rsidRPr="009A56DA">
        <w:t>is not</w:t>
      </w:r>
      <w:r w:rsidRPr="009A56DA">
        <w:t xml:space="preserve"> informed by accurate data and therefore lacks focus. For example in the slums of Nairobi, Kenya, only 22% of vaccinations are administered timely [10] because there is lack of coordination between antenatal services, which usually identify eligible infants before birth and childhood vaccination services that administer the vaccine after birth. Furthermore, providers’ immunization data are not linked. Health managers lack data to estimate appropriate denominator populations for planning services. Several data collection systems at population level exist in parallel with immunization data but are not linked. Absence of data linkage also happens within health facilities: birth data is not linked to immunization data, thus babies born in health facilities also miss birth-doses of vaccines. Data capture is mainly paper based or through a hybrid process in which data is initially recorded on paper and entered manually into a registry making linkage impossible. We propose to approach these challenges by introducing real-time linkage between the various databases, while improving the quality of birth registration by CHVs using a digital platform. Immunization registries at health facilities will also be updated in real time using the same application. A centralized electronic database will facilitate linkage of birth records with immunization registry and between health facilities. An automated data platform will generate information for timely response of the health system.</w:t>
      </w:r>
    </w:p>
    <w:p w14:paraId="64B9FC95" w14:textId="77777777" w:rsidR="00AF3F53" w:rsidRPr="009A56DA" w:rsidRDefault="00AF3F53">
      <w:pPr>
        <w:spacing w:before="120" w:after="0" w:line="240" w:lineRule="auto"/>
        <w:jc w:val="both"/>
      </w:pPr>
    </w:p>
    <w:p w14:paraId="4E1BCB20" w14:textId="77777777" w:rsidR="00AF3F53" w:rsidRPr="009A56DA" w:rsidRDefault="00AF3F53">
      <w:pPr>
        <w:spacing w:before="120" w:after="0" w:line="240" w:lineRule="auto"/>
        <w:jc w:val="both"/>
      </w:pPr>
    </w:p>
    <w:p w14:paraId="1B4C7327" w14:textId="77777777" w:rsidR="00AF3F53" w:rsidRPr="009A56DA" w:rsidRDefault="00E20048">
      <w:pPr>
        <w:numPr>
          <w:ilvl w:val="0"/>
          <w:numId w:val="8"/>
        </w:numPr>
        <w:pBdr>
          <w:top w:val="nil"/>
          <w:left w:val="nil"/>
          <w:bottom w:val="nil"/>
          <w:right w:val="nil"/>
          <w:between w:val="nil"/>
        </w:pBdr>
        <w:spacing w:after="0" w:line="240" w:lineRule="auto"/>
        <w:contextualSpacing/>
        <w:rPr>
          <w:b/>
          <w:color w:val="000000"/>
          <w:sz w:val="28"/>
          <w:szCs w:val="28"/>
        </w:rPr>
      </w:pPr>
      <w:bookmarkStart w:id="7" w:name="_3dy6vkm" w:colFirst="0" w:colLast="0"/>
      <w:bookmarkEnd w:id="7"/>
      <w:r w:rsidRPr="009A56DA">
        <w:rPr>
          <w:b/>
          <w:color w:val="000000"/>
          <w:sz w:val="28"/>
          <w:szCs w:val="28"/>
        </w:rPr>
        <w:t>Review of Literature</w:t>
      </w:r>
    </w:p>
    <w:p w14:paraId="5EEA618E" w14:textId="77777777" w:rsidR="00AF3F53" w:rsidRPr="009A56DA" w:rsidRDefault="00E20048">
      <w:pPr>
        <w:spacing w:after="0" w:line="240" w:lineRule="auto"/>
        <w:jc w:val="both"/>
        <w:rPr>
          <w:b/>
        </w:rPr>
      </w:pPr>
      <w:r w:rsidRPr="009A56DA">
        <w:rPr>
          <w:b/>
        </w:rPr>
        <w:t>Coverage versus timeliness of vaccination</w:t>
      </w:r>
    </w:p>
    <w:p w14:paraId="60AD5BE0" w14:textId="15BDFA37" w:rsidR="00AF3F53" w:rsidRPr="009A56DA" w:rsidRDefault="00E20048">
      <w:pPr>
        <w:spacing w:after="0" w:line="240" w:lineRule="auto"/>
        <w:jc w:val="both"/>
      </w:pPr>
      <w:r w:rsidRPr="009A56DA">
        <w:t>The WHO introduced the EPI as an essential, cost-effective health intervention to reduce child morbidity and mortality worldwide [7]. There has been a substantial increase in vaccination coverage with several countries reporting uptake ranging from 60%-90%, and this has contributed to the reduction of vaccine-preventable diseases and deaths [13].</w:t>
      </w:r>
    </w:p>
    <w:p w14:paraId="75AA91AA" w14:textId="650582C4" w:rsidR="00AF3F53" w:rsidRPr="009A56DA" w:rsidRDefault="00E20048">
      <w:pPr>
        <w:spacing w:after="0" w:line="240" w:lineRule="auto"/>
        <w:jc w:val="both"/>
      </w:pPr>
      <w:r w:rsidRPr="009A56DA">
        <w:rPr>
          <w:color w:val="000000"/>
        </w:rPr>
        <w:t xml:space="preserve">However, despite this progress, the proportion of children receiving vaccines timely is low. </w:t>
      </w:r>
      <w:r w:rsidRPr="009A56DA">
        <w:t>Timeliness of administering a vaccine is considered a better performance indicator and the current performance benchmark for immunization programs. Delays in administering vaccines within the recommended age group increase potential exposure to vaccine-preventable diseases [11]. Several studies have shown that good vaccination coverage for individual vaccines does not necessarily translate to timely vaccination [12, 14-16]. Demographic and Health Surveys conducted between 1996 and 2005 which were based on events recorded on vaccination cards and interviews with mothers provided evidence that vaccination of children are delayed for approximately two weeks for BCG, 2.5 weeks for diphtheria, tetanus, and pertussis (DTP) and 2.7 weeks for measles-containing vaccine and among 12 countries in the study</w:t>
      </w:r>
      <w:r w:rsidR="00FC5697" w:rsidRPr="009A56DA">
        <w:t>:</w:t>
      </w:r>
      <w:r w:rsidRPr="009A56DA">
        <w:t xml:space="preserve"> 25% of the children were vaccinated more than 10 weeks late for BCG [14]. More studies assessing timely vaccination in African countries continue to show a very low proportion of children receiving their vaccines timely. For example in Eastern Uganda, timely vaccination in compliance to the Ugandan EPI recommendations ranged between 56% and 89% with only 18% of the children receiving all vaccines within the recommended time ranges [16]. Another study in Kampala, the capital city of Uganda found about half of the children vaccinated untimely [17]. In the 2014, Kenya Demographic Health Survey, timeliness of childhood vaccinations was also found to be generally low, especially for some ethnic groups such as Somali with only about 30% of babies receiving timely birth dose vaccines and 38% among those with non-institutional </w:t>
      </w:r>
      <w:r w:rsidR="00504123" w:rsidRPr="009A56DA">
        <w:t>deliveries [</w:t>
      </w:r>
      <w:r w:rsidRPr="009A56DA">
        <w:t xml:space="preserve">18]. A study in the slums of Nairobi conducted between 2007 and 2014 showed that only 22 % of fully immunized children had vaccines administered timely [10]. </w:t>
      </w:r>
    </w:p>
    <w:p w14:paraId="2BA3192D" w14:textId="77777777" w:rsidR="00AF3F53" w:rsidRPr="009A56DA" w:rsidRDefault="00E20048">
      <w:pPr>
        <w:spacing w:before="240" w:after="240" w:line="240" w:lineRule="auto"/>
        <w:rPr>
          <w:b/>
        </w:rPr>
      </w:pPr>
      <w:r w:rsidRPr="009A56DA">
        <w:rPr>
          <w:b/>
        </w:rPr>
        <w:t xml:space="preserve">Birth dose vaccines </w:t>
      </w:r>
    </w:p>
    <w:p w14:paraId="40EE8F8F" w14:textId="4E4C2FE4" w:rsidR="00687A72" w:rsidRPr="009A56DA" w:rsidRDefault="00E20048" w:rsidP="00687A72">
      <w:pPr>
        <w:spacing w:before="240" w:after="240" w:line="240" w:lineRule="auto"/>
        <w:jc w:val="both"/>
      </w:pPr>
      <w:r w:rsidRPr="009A56DA">
        <w:t xml:space="preserve">The WHO recommends three vaccines; HBV, BCG and OPV to be administered soon after birth [19-21]. The early administration of HBV, BCG and OPV vaccines at birth is aimed at preventing both mother-to-child and early horizontal </w:t>
      </w:r>
      <w:r w:rsidR="004171EA" w:rsidRPr="009A56DA">
        <w:t xml:space="preserve">Hepatitis B </w:t>
      </w:r>
      <w:r w:rsidRPr="009A56DA">
        <w:t xml:space="preserve">transmission [21]; </w:t>
      </w:r>
      <w:r w:rsidR="001C1071" w:rsidRPr="009A56DA">
        <w:t xml:space="preserve">Tuberculosis </w:t>
      </w:r>
      <w:r w:rsidRPr="009A56DA">
        <w:t xml:space="preserve"> in </w:t>
      </w:r>
      <w:r w:rsidR="004171EA" w:rsidRPr="009A56DA">
        <w:t xml:space="preserve">children </w:t>
      </w:r>
      <w:r w:rsidRPr="009A56DA">
        <w:t>[22]; and to increase OPV sero-conversion rates with subsequent doses, respectively [20].</w:t>
      </w:r>
      <w:r w:rsidRPr="009A56DA">
        <w:rPr>
          <w:b/>
        </w:rPr>
        <w:t xml:space="preserve"> </w:t>
      </w:r>
      <w:r w:rsidRPr="009A56DA">
        <w:t xml:space="preserve">Most countries in Africa administer two vaccines at birth: BCG and OPV and WHO provides estimates of coverage for almost all countries where such vaccination is done. </w:t>
      </w:r>
      <w:r w:rsidRPr="009A56DA">
        <w:rPr>
          <w:color w:val="000000"/>
        </w:rPr>
        <w:t>Only 10 out of 47 countries in Africa, and none from East Africa; have implemented the WHO recommendation of introducing a birth-dose of hepatitis B vaccine in their EPI program [23].</w:t>
      </w:r>
      <w:r w:rsidRPr="009A56DA">
        <w:t xml:space="preserve"> Approximately 100 million doses of BCG vaccine given to children every year prevent about 40 000 cases of tuberculous meningitis and military tuberculosis from occurring before children reach the age of five years, and it is the most cost-effective intervention for severe childhood tuberculosis in low and middle-income countries in Africa, South East Asia and Western Pacific where T</w:t>
      </w:r>
      <w:r w:rsidR="00FC5697" w:rsidRPr="009A56DA">
        <w:t>uberculosis</w:t>
      </w:r>
      <w:r w:rsidRPr="009A56DA">
        <w:t xml:space="preserve"> infection rates are high [24]. The OPV is central to the goal of polio eradication in many countries where affordable and easily administered vaccination can facilitate the prevention of disease. OPV has low immunogenicity and th</w:t>
      </w:r>
      <w:r w:rsidR="00FC5697" w:rsidRPr="009A56DA">
        <w:t>us</w:t>
      </w:r>
      <w:r w:rsidRPr="009A56DA">
        <w:t xml:space="preserve"> requires multiple doses of the vaccine to be given including the first dose given at birth. </w:t>
      </w:r>
      <w:r w:rsidRPr="009A56DA">
        <w:rPr>
          <w:color w:val="000000"/>
        </w:rPr>
        <w:t>The administration of OPV at birth</w:t>
      </w:r>
      <w:r w:rsidRPr="009A56DA">
        <w:t xml:space="preserve"> was based on clinical studies [25, 26]. </w:t>
      </w:r>
      <w:r w:rsidRPr="009A56DA">
        <w:rPr>
          <w:color w:val="000000"/>
        </w:rPr>
        <w:t>This dose provides</w:t>
      </w:r>
      <w:r w:rsidRPr="009A56DA">
        <w:t xml:space="preserve"> </w:t>
      </w:r>
      <w:r w:rsidRPr="009A56DA">
        <w:rPr>
          <w:color w:val="000000"/>
        </w:rPr>
        <w:t>early protection to newborns in endemic settings and may be the</w:t>
      </w:r>
      <w:r w:rsidRPr="009A56DA">
        <w:t xml:space="preserve"> </w:t>
      </w:r>
      <w:r w:rsidRPr="009A56DA">
        <w:rPr>
          <w:color w:val="000000"/>
        </w:rPr>
        <w:t xml:space="preserve">only vaccine received by children who later become lost </w:t>
      </w:r>
      <w:r w:rsidRPr="009A56DA">
        <w:rPr>
          <w:color w:val="000000"/>
        </w:rPr>
        <w:lastRenderedPageBreak/>
        <w:t>to medical</w:t>
      </w:r>
      <w:r w:rsidRPr="009A56DA">
        <w:t xml:space="preserve"> </w:t>
      </w:r>
      <w:r w:rsidRPr="009A56DA">
        <w:rPr>
          <w:color w:val="000000"/>
        </w:rPr>
        <w:t>services. In addition, given that most newborns have maternally derived</w:t>
      </w:r>
      <w:r w:rsidRPr="009A56DA">
        <w:t xml:space="preserve"> </w:t>
      </w:r>
      <w:r w:rsidRPr="009A56DA">
        <w:rPr>
          <w:color w:val="000000"/>
        </w:rPr>
        <w:t>antibody against polioviruses, a birth dose of OPV is associated with the lowest risk of serious adverse events.</w:t>
      </w:r>
    </w:p>
    <w:p w14:paraId="5A323BBC" w14:textId="77777777" w:rsidR="00687A72" w:rsidRPr="009A56DA" w:rsidRDefault="00687A72" w:rsidP="00687A72">
      <w:pPr>
        <w:spacing w:before="240" w:after="240" w:line="240" w:lineRule="auto"/>
        <w:jc w:val="both"/>
      </w:pPr>
    </w:p>
    <w:p w14:paraId="5AFBF2FC" w14:textId="77777777" w:rsidR="00AF3F53" w:rsidRPr="009A56DA" w:rsidRDefault="00E20048">
      <w:pPr>
        <w:spacing w:before="240" w:after="240" w:line="240" w:lineRule="auto"/>
        <w:rPr>
          <w:b/>
        </w:rPr>
      </w:pPr>
      <w:r w:rsidRPr="009A56DA">
        <w:rPr>
          <w:b/>
        </w:rPr>
        <w:t>Timeliness of administering birth dose vaccines</w:t>
      </w:r>
    </w:p>
    <w:p w14:paraId="0EA59BD8" w14:textId="15C9A134" w:rsidR="00AF3F53" w:rsidRPr="009A56DA" w:rsidRDefault="00E20048">
      <w:pPr>
        <w:spacing w:before="240" w:after="240" w:line="240" w:lineRule="auto"/>
        <w:jc w:val="both"/>
      </w:pPr>
      <w:r w:rsidRPr="009A56DA">
        <w:t xml:space="preserve">A </w:t>
      </w:r>
      <w:r w:rsidR="00504123" w:rsidRPr="009A56DA">
        <w:t>birth dose</w:t>
      </w:r>
      <w:r w:rsidRPr="009A56DA">
        <w:t xml:space="preserve"> vaccine is defined as a dose of vaccine given within the first seven days of life in a non-premature, healthy neonate. Timely vaccination with any of the three vaccines at birth protects children against morbidities and mortalities at earlier stages of life and also heightens</w:t>
      </w:r>
      <w:r w:rsidRPr="009A56DA">
        <w:rPr>
          <w:color w:val="000000"/>
        </w:rPr>
        <w:t xml:space="preserve"> population herd immunity levels [11], thereby protecting those that are too young to be vaccinated or are medically contraindicated. Delays in vaccination lessen population coverage and create a pool of susceptible individuals, thereby increasing the pathogen’s ability to spread and theoretically increasing the risk of exposure</w:t>
      </w:r>
      <w:r w:rsidRPr="009A56DA">
        <w:t xml:space="preserve">. In Ghana a median delay for BCG was 1.7 weeks and 5 days for OPV given at birth [9]. In the same study, some of the factors cited as drivers of untimely vaccination include low demand in the population, poor availability of the vaccine in village clinics and remote location of some births. In order to administer birth dose vaccines timely, there is need to efficiently coordinate between EPI and maternal and child health (MCH) services [27]. Overall, collaboration between MCH and EPI and supervision are essential to increase overall timeliness of vaccination at birth. Most of the current vaccination coverage monitoring in LMICs relies on aggregated data that have significant deficiencies such </w:t>
      </w:r>
      <w:r w:rsidR="00504123" w:rsidRPr="009A56DA">
        <w:t>as fragmented</w:t>
      </w:r>
      <w:r w:rsidRPr="009A56DA">
        <w:t xml:space="preserve"> systems of vaccination delivery, poor recording and communication between maternal health services and child health services. Understanding these deficiencies presents formidable opportunities for improving timely vaccinations at birth. </w:t>
      </w:r>
    </w:p>
    <w:p w14:paraId="02586F56" w14:textId="5BD60F93" w:rsidR="00AF3F53" w:rsidRPr="009A56DA" w:rsidRDefault="00E20048">
      <w:pPr>
        <w:spacing w:after="0" w:line="240" w:lineRule="auto"/>
        <w:jc w:val="both"/>
      </w:pPr>
      <w:r w:rsidRPr="009A56DA">
        <w:t>Improved monitoring of vaccination programs can improve both coverage and timeliness of vaccinations. With the emerging information and communication technologies, electronic immunization registries (EIRs) could potentially facilitate vaccination monitoring through tracking of individuals to their homes. In 2005, WHO passed a resolution on eHealth</w:t>
      </w:r>
      <w:r w:rsidR="00FC5697" w:rsidRPr="009A56DA">
        <w:t xml:space="preserve"> (electronic health)</w:t>
      </w:r>
      <w:r w:rsidRPr="009A56DA">
        <w:t xml:space="preserve"> to “strengthen the ability of Member States to address health problems by integrating eHealth applications into health systems in order to improve performance, care delivery, and information mechanisms” and to “support capacity- building and to provide technical assistance and policy guidance on the implementation of eHealth applications”[28]. The computerization of immunization registries is an important part of eHealth in the context of national immunization programs. Several countries are rapidly developing and implementing national EIRs and rich experiences from these countries suggest that electronic registries improve monitoring of immunization coverage and results in better coverage[29]. The “ideal” EIR comprises: (i) enrollment at birth; (ii) a unique identifier (ID); (iii) vaccination provider, vaccine dose, and date; (iv) mechanisms for aggregating data at different geographical levels; and (v) automated individualized follow-up of vaccination schedules [30]. Besides improving coverage and timeliness of vaccinations, EIRs can also help support decision-making on individual-basis and at the population level, and enable more targeted vaccination delivery, social communication, and advocacy strategies. </w:t>
      </w:r>
      <w:r w:rsidRPr="009A56DA">
        <w:rPr>
          <w:color w:val="000000"/>
        </w:rPr>
        <w:t xml:space="preserve">Opportunities thus exist to leverage mobile-health (mHealth) technologies to tackle both demand-side and supply-side barriers to vaccination timeliness such as forgetting vaccination appointments, not knowing the vaccine schedule, or incurring transportation costs, to improve vaccination uptake, improving community registration of pregnancies, births and generating automated reminders. However, the evidence that supports these approaches especially to improve timeliness of vaccinations in Africa and LMICs is insufficient. </w:t>
      </w:r>
    </w:p>
    <w:p w14:paraId="15B3DCC2" w14:textId="77777777" w:rsidR="00AF3F53" w:rsidRPr="009A56DA" w:rsidRDefault="00AF3F53">
      <w:pPr>
        <w:spacing w:after="0" w:line="240" w:lineRule="auto"/>
        <w:jc w:val="both"/>
        <w:rPr>
          <w:color w:val="000000"/>
        </w:rPr>
      </w:pPr>
    </w:p>
    <w:p w14:paraId="3028BFE5" w14:textId="77777777" w:rsidR="00AF3F53" w:rsidRPr="009A56DA" w:rsidRDefault="00AF3F53">
      <w:pPr>
        <w:spacing w:after="0" w:line="240" w:lineRule="auto"/>
        <w:jc w:val="both"/>
        <w:rPr>
          <w:color w:val="000000"/>
        </w:rPr>
      </w:pPr>
    </w:p>
    <w:p w14:paraId="26566E43" w14:textId="10CCA8B8" w:rsidR="00AF3F53" w:rsidRPr="009A56DA" w:rsidRDefault="00E20048">
      <w:pPr>
        <w:pBdr>
          <w:top w:val="nil"/>
          <w:left w:val="nil"/>
          <w:bottom w:val="nil"/>
          <w:right w:val="nil"/>
          <w:between w:val="nil"/>
        </w:pBdr>
        <w:spacing w:after="120" w:line="264" w:lineRule="auto"/>
        <w:jc w:val="both"/>
        <w:rPr>
          <w:color w:val="000000"/>
        </w:rPr>
      </w:pPr>
      <w:r w:rsidRPr="009A56DA">
        <w:rPr>
          <w:color w:val="000000"/>
        </w:rPr>
        <w:lastRenderedPageBreak/>
        <w:t>One of the first studies to examine use of mHealth for improving the timeliness of vaccinations in a LMIC was a cluster randomized controlled trial conducted in Western Kenya between 2013 and 2014, which demonstrated that sending text messages</w:t>
      </w:r>
      <w:r w:rsidR="009F4DB0" w:rsidRPr="009A56DA">
        <w:rPr>
          <w:color w:val="000000"/>
        </w:rPr>
        <w:t xml:space="preserve"> (SMS)</w:t>
      </w:r>
      <w:r w:rsidRPr="009A56DA">
        <w:rPr>
          <w:color w:val="000000"/>
        </w:rPr>
        <w:t xml:space="preserve"> was effective at increasing vaccination timeliness [31]. The trial recruited village reporters to identify eligible caregivers and their infants. Village reporters used mobile phones to send birth notification text messages to a Rapid SMS server. Birth notifications were relayed to field-based community interviewers who then screened caregivers of newborns for eligibility into the study. SMS reminders were sent three days and the day before scheduled vaccination visits to caregivers whose children were due for vaccination. This study, in a rural sub-Saharan African setting with high baseline vaccination coverage, showed that SMS reminders could yield significant gains in timeliness of vaccination. However, timeliness of birth dose vaccines (OPV and BCG) was excluded in the primary outcome definition of the study because the study was not designed to enroll children from birth.</w:t>
      </w:r>
    </w:p>
    <w:p w14:paraId="2F076BC9" w14:textId="3E205AC3" w:rsidR="00AF3F53" w:rsidRPr="009A56DA" w:rsidRDefault="00E20048" w:rsidP="00687A72">
      <w:pPr>
        <w:spacing w:after="0" w:line="240" w:lineRule="auto"/>
        <w:jc w:val="both"/>
      </w:pPr>
      <w:r w:rsidRPr="009A56DA">
        <w:t xml:space="preserve">With some births occurring at home, it is important to register pregnancies </w:t>
      </w:r>
      <w:r w:rsidR="009F4DB0" w:rsidRPr="009A56DA">
        <w:t>in the communities</w:t>
      </w:r>
      <w:r w:rsidRPr="009A56DA">
        <w:t xml:space="preserve"> in order to increase the chances of registering children at birth. The role of CHVs in registering pregnancies at birth and improving health facility births has been demonstrated in a study in rural Uganda [32], and this could additionally improve timeliness of birth dose vaccines. </w:t>
      </w:r>
      <w:r w:rsidRPr="009A56DA">
        <w:rPr>
          <w:color w:val="000000"/>
        </w:rPr>
        <w:t xml:space="preserve">The CHVs hold important primary health care roles including improvement of vaccination uptake [33]. They have in-depth knowledge of fellow community members and the culture of their communities. With training and supervision, they have taken on tasks such as health promotion, birth and death registration, and assisting community members in accessing care [34]. The CHVs are therefore crucial in establishing the </w:t>
      </w:r>
      <w:r w:rsidRPr="009A56DA">
        <w:t xml:space="preserve">linkage between health workers and communities, and play a critical role in improving timeliness of administering birth dose vaccines. </w:t>
      </w:r>
    </w:p>
    <w:p w14:paraId="4ABEC6C6" w14:textId="77777777" w:rsidR="00AF3F53" w:rsidRPr="009A56DA" w:rsidRDefault="00E20048">
      <w:pPr>
        <w:pStyle w:val="Heading1"/>
        <w:numPr>
          <w:ilvl w:val="0"/>
          <w:numId w:val="8"/>
        </w:numPr>
        <w:rPr>
          <w:b/>
          <w:color w:val="000000"/>
          <w:sz w:val="28"/>
          <w:szCs w:val="28"/>
        </w:rPr>
      </w:pPr>
      <w:bookmarkStart w:id="8" w:name="_1t3h5sf" w:colFirst="0" w:colLast="0"/>
      <w:bookmarkEnd w:id="8"/>
      <w:r w:rsidRPr="009A56DA">
        <w:rPr>
          <w:b/>
          <w:color w:val="000000"/>
          <w:sz w:val="28"/>
          <w:szCs w:val="28"/>
        </w:rPr>
        <w:t>Research Objectives</w:t>
      </w:r>
    </w:p>
    <w:p w14:paraId="2EE7E4AB" w14:textId="0A927200" w:rsidR="00AF3F53" w:rsidRPr="009A56DA" w:rsidRDefault="00E20048" w:rsidP="00687A72">
      <w:pPr>
        <w:spacing w:after="0" w:line="240" w:lineRule="auto"/>
        <w:jc w:val="both"/>
        <w:rPr>
          <w:b/>
        </w:rPr>
      </w:pPr>
      <w:r w:rsidRPr="009A56DA">
        <w:rPr>
          <w:b/>
        </w:rPr>
        <w:t xml:space="preserve">General objective: </w:t>
      </w:r>
      <w:r w:rsidRPr="009A56DA">
        <w:t>The main aim of this study is to assess the  feasibility</w:t>
      </w:r>
      <w:r w:rsidR="009F4DB0" w:rsidRPr="009A56DA">
        <w:t>,</w:t>
      </w:r>
      <w:r w:rsidRPr="009A56DA">
        <w:t xml:space="preserve"> and effectiveness of introducing </w:t>
      </w:r>
      <w:r w:rsidRPr="009A56DA">
        <w:rPr>
          <w:color w:val="000000"/>
        </w:rPr>
        <w:t>an electronic immunization registry consisting of  a digital platform, web-based database and health text messages used by CHVs and healthcare workers in improving timeliness of administering birth dose vaccines (BCG and OPV) in Nairobi slums.</w:t>
      </w:r>
    </w:p>
    <w:p w14:paraId="5A89388C" w14:textId="77777777" w:rsidR="00687A72" w:rsidRPr="009A56DA" w:rsidRDefault="00687A72" w:rsidP="00687A72">
      <w:pPr>
        <w:spacing w:after="0" w:line="240" w:lineRule="auto"/>
        <w:jc w:val="both"/>
        <w:rPr>
          <w:b/>
        </w:rPr>
      </w:pPr>
    </w:p>
    <w:p w14:paraId="113C3D2E" w14:textId="77777777" w:rsidR="00AF3F53" w:rsidRPr="009A56DA" w:rsidRDefault="00E20048">
      <w:pPr>
        <w:spacing w:before="120" w:line="240" w:lineRule="auto"/>
        <w:rPr>
          <w:b/>
          <w:sz w:val="24"/>
          <w:szCs w:val="24"/>
        </w:rPr>
      </w:pPr>
      <w:r w:rsidRPr="009A56DA">
        <w:rPr>
          <w:b/>
          <w:sz w:val="24"/>
          <w:szCs w:val="24"/>
        </w:rPr>
        <w:t xml:space="preserve">    Specific objectives</w:t>
      </w:r>
    </w:p>
    <w:p w14:paraId="4F03C502" w14:textId="77777777" w:rsidR="00AF3F53" w:rsidRPr="009A56DA" w:rsidRDefault="00E20048">
      <w:pPr>
        <w:spacing w:before="120" w:line="240" w:lineRule="auto"/>
        <w:rPr>
          <w:sz w:val="24"/>
          <w:szCs w:val="24"/>
        </w:rPr>
      </w:pPr>
      <w:r w:rsidRPr="009A56DA">
        <w:rPr>
          <w:sz w:val="24"/>
          <w:szCs w:val="24"/>
        </w:rPr>
        <w:t>The specific objectives of the study are to:</w:t>
      </w:r>
    </w:p>
    <w:p w14:paraId="5EA9B983" w14:textId="08E60646" w:rsidR="00AF3F53" w:rsidRPr="009A56DA" w:rsidRDefault="00E20048">
      <w:pPr>
        <w:numPr>
          <w:ilvl w:val="0"/>
          <w:numId w:val="4"/>
        </w:numPr>
        <w:pBdr>
          <w:top w:val="nil"/>
          <w:left w:val="nil"/>
          <w:bottom w:val="nil"/>
          <w:right w:val="nil"/>
          <w:between w:val="nil"/>
        </w:pBdr>
        <w:spacing w:after="0" w:line="240" w:lineRule="auto"/>
        <w:contextualSpacing/>
        <w:jc w:val="both"/>
        <w:rPr>
          <w:color w:val="000000"/>
        </w:rPr>
      </w:pPr>
      <w:r w:rsidRPr="009A56DA">
        <w:t>D</w:t>
      </w:r>
      <w:r w:rsidRPr="009A56DA">
        <w:rPr>
          <w:color w:val="000000"/>
        </w:rPr>
        <w:t xml:space="preserve">etermine if CHVs and health workers at health facilities can enroll pregnant women using a digital platform and track them until birth. </w:t>
      </w:r>
    </w:p>
    <w:p w14:paraId="303EC3FD" w14:textId="77777777" w:rsidR="00AF3F53" w:rsidRPr="009A56DA" w:rsidRDefault="00AF3F53">
      <w:pPr>
        <w:pBdr>
          <w:top w:val="nil"/>
          <w:left w:val="nil"/>
          <w:bottom w:val="nil"/>
          <w:right w:val="nil"/>
          <w:between w:val="nil"/>
        </w:pBdr>
        <w:spacing w:after="0" w:line="240" w:lineRule="auto"/>
        <w:ind w:left="720" w:hanging="720"/>
        <w:jc w:val="both"/>
        <w:rPr>
          <w:color w:val="000000"/>
        </w:rPr>
      </w:pPr>
    </w:p>
    <w:p w14:paraId="72F17BE0" w14:textId="088B8D78" w:rsidR="00AF3F53" w:rsidRPr="009A56DA" w:rsidRDefault="00E20048">
      <w:pPr>
        <w:numPr>
          <w:ilvl w:val="0"/>
          <w:numId w:val="4"/>
        </w:numPr>
        <w:pBdr>
          <w:top w:val="nil"/>
          <w:left w:val="nil"/>
          <w:bottom w:val="nil"/>
          <w:right w:val="nil"/>
          <w:between w:val="nil"/>
        </w:pBdr>
        <w:spacing w:after="0" w:line="240" w:lineRule="auto"/>
        <w:contextualSpacing/>
        <w:jc w:val="both"/>
        <w:rPr>
          <w:color w:val="000000"/>
        </w:rPr>
      </w:pPr>
      <w:r w:rsidRPr="009A56DA">
        <w:rPr>
          <w:color w:val="000000"/>
        </w:rPr>
        <w:t xml:space="preserve"> </w:t>
      </w:r>
      <w:r w:rsidRPr="009A56DA">
        <w:t>A</w:t>
      </w:r>
      <w:r w:rsidRPr="009A56DA">
        <w:rPr>
          <w:color w:val="000000"/>
        </w:rPr>
        <w:t xml:space="preserve">ssess if health workers in health facilities in </w:t>
      </w:r>
      <w:r w:rsidRPr="009A56DA">
        <w:t>Viwandani,</w:t>
      </w:r>
      <w:r w:rsidRPr="009A56DA">
        <w:rPr>
          <w:color w:val="000000"/>
        </w:rPr>
        <w:t xml:space="preserve"> Nairobi can use an electronic registry of pregnancies and births to </w:t>
      </w:r>
      <w:r w:rsidRPr="009A56DA">
        <w:t>m</w:t>
      </w:r>
      <w:r w:rsidRPr="009A56DA">
        <w:rPr>
          <w:color w:val="000000"/>
        </w:rPr>
        <w:t>ake decisions for planning birth dose vaccination services.</w:t>
      </w:r>
    </w:p>
    <w:p w14:paraId="352A3EB5" w14:textId="77777777" w:rsidR="00AF3F53" w:rsidRPr="009A56DA" w:rsidRDefault="00AF3F53">
      <w:pPr>
        <w:pBdr>
          <w:top w:val="nil"/>
          <w:left w:val="nil"/>
          <w:bottom w:val="nil"/>
          <w:right w:val="nil"/>
          <w:between w:val="nil"/>
        </w:pBdr>
        <w:spacing w:after="0" w:line="240" w:lineRule="auto"/>
        <w:ind w:left="720" w:hanging="720"/>
        <w:rPr>
          <w:color w:val="000000"/>
        </w:rPr>
      </w:pPr>
    </w:p>
    <w:p w14:paraId="30B462D2" w14:textId="7A46B4F1" w:rsidR="00AF3F53" w:rsidRPr="009A56DA" w:rsidRDefault="009F4DB0">
      <w:pPr>
        <w:numPr>
          <w:ilvl w:val="0"/>
          <w:numId w:val="4"/>
        </w:numPr>
        <w:pBdr>
          <w:top w:val="nil"/>
          <w:left w:val="nil"/>
          <w:bottom w:val="nil"/>
          <w:right w:val="nil"/>
          <w:between w:val="nil"/>
        </w:pBdr>
        <w:spacing w:after="0" w:line="240" w:lineRule="auto"/>
        <w:contextualSpacing/>
        <w:jc w:val="both"/>
        <w:rPr>
          <w:color w:val="000000"/>
        </w:rPr>
      </w:pPr>
      <w:r w:rsidRPr="009A56DA">
        <w:rPr>
          <w:color w:val="000000"/>
        </w:rPr>
        <w:t>E</w:t>
      </w:r>
      <w:r w:rsidR="00E20048" w:rsidRPr="009A56DA">
        <w:rPr>
          <w:color w:val="000000"/>
        </w:rPr>
        <w:t>st</w:t>
      </w:r>
      <w:r w:rsidRPr="009A56DA">
        <w:rPr>
          <w:color w:val="000000"/>
        </w:rPr>
        <w:t>imate</w:t>
      </w:r>
      <w:r w:rsidR="00E20048" w:rsidRPr="009A56DA">
        <w:rPr>
          <w:color w:val="000000"/>
        </w:rPr>
        <w:t xml:space="preserve"> the effectiveness of the mobile phone text messages in improving timeliness of administering birth-dose vaccines. </w:t>
      </w:r>
    </w:p>
    <w:p w14:paraId="133FED8E" w14:textId="77777777" w:rsidR="00AF3F53" w:rsidRPr="009A56DA" w:rsidRDefault="00AF3F53">
      <w:pPr>
        <w:pBdr>
          <w:top w:val="nil"/>
          <w:left w:val="nil"/>
          <w:bottom w:val="nil"/>
          <w:right w:val="nil"/>
          <w:between w:val="nil"/>
        </w:pBdr>
        <w:spacing w:after="0" w:line="240" w:lineRule="auto"/>
        <w:jc w:val="both"/>
        <w:rPr>
          <w:color w:val="000000"/>
        </w:rPr>
      </w:pPr>
    </w:p>
    <w:p w14:paraId="16891D35" w14:textId="420F6DA9" w:rsidR="00AF3F53" w:rsidRPr="009A56DA" w:rsidRDefault="00E20048">
      <w:pPr>
        <w:numPr>
          <w:ilvl w:val="0"/>
          <w:numId w:val="4"/>
        </w:numPr>
        <w:spacing w:after="0" w:line="240" w:lineRule="auto"/>
        <w:contextualSpacing/>
        <w:jc w:val="both"/>
      </w:pPr>
      <w:r w:rsidRPr="009A56DA">
        <w:rPr>
          <w:color w:val="000000"/>
        </w:rPr>
        <w:t>Estimate the cost of the intervention (mobile and web-based platform), and examine its cost-effectiveness.</w:t>
      </w:r>
    </w:p>
    <w:p w14:paraId="25322BB5" w14:textId="77777777" w:rsidR="00AF3F53" w:rsidRPr="009A56DA" w:rsidRDefault="00AF3F53"/>
    <w:p w14:paraId="10C3941A" w14:textId="77777777" w:rsidR="00AF3F53" w:rsidRPr="009A56DA" w:rsidRDefault="00E20048">
      <w:pPr>
        <w:pStyle w:val="Heading1"/>
        <w:numPr>
          <w:ilvl w:val="0"/>
          <w:numId w:val="8"/>
        </w:numPr>
        <w:rPr>
          <w:b/>
          <w:color w:val="000000"/>
          <w:sz w:val="28"/>
          <w:szCs w:val="28"/>
        </w:rPr>
      </w:pPr>
      <w:bookmarkStart w:id="9" w:name="_4d34og8" w:colFirst="0" w:colLast="0"/>
      <w:bookmarkEnd w:id="9"/>
      <w:r w:rsidRPr="009A56DA">
        <w:rPr>
          <w:b/>
          <w:color w:val="000000"/>
          <w:sz w:val="28"/>
          <w:szCs w:val="28"/>
        </w:rPr>
        <w:lastRenderedPageBreak/>
        <w:t>Conceptual Framework and Operationalization</w:t>
      </w:r>
    </w:p>
    <w:p w14:paraId="3A1558A7" w14:textId="77777777" w:rsidR="00AF3F53" w:rsidRPr="009A56DA" w:rsidRDefault="00E20048">
      <w:pPr>
        <w:keepNext/>
        <w:keepLines/>
        <w:spacing w:before="200" w:after="0" w:line="276" w:lineRule="auto"/>
        <w:rPr>
          <w:b/>
          <w:i/>
          <w:sz w:val="24"/>
          <w:szCs w:val="24"/>
        </w:rPr>
      </w:pPr>
      <w:bookmarkStart w:id="10" w:name="_2s8eyo1" w:colFirst="0" w:colLast="0"/>
      <w:bookmarkEnd w:id="10"/>
      <w:r w:rsidRPr="009A56DA">
        <w:rPr>
          <w:b/>
          <w:i/>
          <w:sz w:val="24"/>
          <w:szCs w:val="24"/>
        </w:rPr>
        <w:t>Description of the mHealth model for improving timeliness of vaccination</w:t>
      </w:r>
    </w:p>
    <w:p w14:paraId="5FF6C2C7" w14:textId="44A89274" w:rsidR="00AF3F53" w:rsidRPr="009A56DA" w:rsidRDefault="00E20048">
      <w:pPr>
        <w:pBdr>
          <w:top w:val="nil"/>
          <w:left w:val="nil"/>
          <w:bottom w:val="nil"/>
          <w:right w:val="nil"/>
          <w:between w:val="nil"/>
        </w:pBdr>
        <w:spacing w:after="120" w:line="276" w:lineRule="auto"/>
        <w:jc w:val="both"/>
        <w:rPr>
          <w:color w:val="000000"/>
        </w:rPr>
      </w:pPr>
      <w:r w:rsidRPr="009A56DA">
        <w:rPr>
          <w:color w:val="000000"/>
        </w:rPr>
        <w:t xml:space="preserve">The core of the model is the improvement of the interaction between CHVs, pregnant women and healthcare workers using a digital platform linked to a central registry. The central registry of pregnancies and births is expected to facilitate decision making by health workers to schedule messages to mothers encouraging them to take up vaccinations timely. It is also envisaged that the healthcare workers will plan vaccination </w:t>
      </w:r>
      <w:r w:rsidRPr="009A56DA">
        <w:t>program</w:t>
      </w:r>
      <w:r w:rsidR="009F4DB0" w:rsidRPr="009A56DA">
        <w:t>s</w:t>
      </w:r>
      <w:r w:rsidRPr="009A56DA">
        <w:rPr>
          <w:color w:val="000000"/>
        </w:rPr>
        <w:t xml:space="preserve"> based on the knowledge of new births in a particular location. Figure 1 shows the initial model that will be developed and tested in this protocol. </w:t>
      </w:r>
    </w:p>
    <w:p w14:paraId="189B2A68" w14:textId="77777777" w:rsidR="00AF3F53" w:rsidRPr="009A56DA" w:rsidRDefault="00AF3F53"/>
    <w:p w14:paraId="13B690A8" w14:textId="77777777" w:rsidR="00AF3F53" w:rsidRPr="009A56DA" w:rsidRDefault="00AF3F53"/>
    <w:p w14:paraId="5DD82B56" w14:textId="77777777" w:rsidR="00AF3F53" w:rsidRPr="009A56DA" w:rsidRDefault="00E20048">
      <w:pPr>
        <w:spacing w:before="120" w:line="240" w:lineRule="auto"/>
        <w:rPr>
          <w:b/>
          <w:sz w:val="28"/>
          <w:szCs w:val="28"/>
        </w:rPr>
      </w:pPr>
      <w:r w:rsidRPr="009A56DA">
        <w:rPr>
          <w:b/>
          <w:sz w:val="28"/>
          <w:szCs w:val="28"/>
        </w:rPr>
        <w:t xml:space="preserve">      </w:t>
      </w:r>
    </w:p>
    <w:p w14:paraId="490365D2" w14:textId="77777777" w:rsidR="00AF3F53" w:rsidRPr="009A56DA" w:rsidRDefault="00E20048">
      <w:pPr>
        <w:spacing w:before="120" w:line="240" w:lineRule="auto"/>
        <w:rPr>
          <w:b/>
          <w:sz w:val="28"/>
          <w:szCs w:val="28"/>
        </w:rPr>
      </w:pPr>
      <w:r w:rsidRPr="009A56DA">
        <w:rPr>
          <w:b/>
          <w:noProof/>
          <w:sz w:val="28"/>
          <w:szCs w:val="28"/>
          <w:lang w:val="en-GB" w:eastAsia="en-GB"/>
        </w:rPr>
        <w:drawing>
          <wp:inline distT="0" distB="0" distL="0" distR="0" wp14:anchorId="54D664DE" wp14:editId="3FE88512">
            <wp:extent cx="5943600" cy="30511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t="8701"/>
                    <a:stretch>
                      <a:fillRect/>
                    </a:stretch>
                  </pic:blipFill>
                  <pic:spPr>
                    <a:xfrm>
                      <a:off x="0" y="0"/>
                      <a:ext cx="5943600" cy="3051175"/>
                    </a:xfrm>
                    <a:prstGeom prst="rect">
                      <a:avLst/>
                    </a:prstGeom>
                    <a:ln/>
                  </pic:spPr>
                </pic:pic>
              </a:graphicData>
            </a:graphic>
          </wp:inline>
        </w:drawing>
      </w:r>
    </w:p>
    <w:p w14:paraId="2266127E" w14:textId="77777777" w:rsidR="00AF3F53" w:rsidRPr="009A56DA" w:rsidRDefault="00E20048">
      <w:pPr>
        <w:pBdr>
          <w:top w:val="nil"/>
          <w:left w:val="nil"/>
          <w:bottom w:val="nil"/>
          <w:right w:val="nil"/>
          <w:between w:val="nil"/>
        </w:pBdr>
        <w:spacing w:after="120" w:line="276" w:lineRule="auto"/>
        <w:jc w:val="both"/>
        <w:rPr>
          <w:b/>
          <w:color w:val="000000"/>
        </w:rPr>
      </w:pPr>
      <w:r w:rsidRPr="009A56DA">
        <w:rPr>
          <w:b/>
          <w:color w:val="000000"/>
        </w:rPr>
        <w:t>Figure 1: Digital platform for improving timeliness of birth dose vaccines</w:t>
      </w:r>
    </w:p>
    <w:p w14:paraId="40E02026" w14:textId="37433CF4" w:rsidR="00AF3F53" w:rsidRPr="009A56DA" w:rsidRDefault="00E20048">
      <w:pPr>
        <w:pBdr>
          <w:top w:val="nil"/>
          <w:left w:val="nil"/>
          <w:bottom w:val="nil"/>
          <w:right w:val="nil"/>
          <w:between w:val="nil"/>
        </w:pBdr>
        <w:spacing w:after="120" w:line="276" w:lineRule="auto"/>
        <w:jc w:val="both"/>
        <w:rPr>
          <w:color w:val="000000"/>
        </w:rPr>
      </w:pPr>
      <w:r w:rsidRPr="009A56DA">
        <w:rPr>
          <w:color w:val="000000"/>
        </w:rPr>
        <w:t xml:space="preserve">CHVs and healthcare workers will register pregnant women at home or health facility. After each registration, the data will be automatically transferred into a central server. In order to increase timeliness of administering birth dose vaccines health messages will be integrated into the application and will trigger messages to pregnant women at specified time points close to birth. By doing this, the application will help pregnant women understand the value of timely vaccination and create habits that will enhance positive behaviors to adhere to vaccination appointments. It will remove barriers that would otherwise interfere with behavior change, and will lead to sustained behavior change. Additionally, health workers will receive automated lists of unvaccinated children to enable them plan vaccination schedules. CHVs will also be triggered by text messages to follow unvaccinated children in their own villages. </w:t>
      </w:r>
    </w:p>
    <w:p w14:paraId="54604FE4" w14:textId="77777777" w:rsidR="00AF3F53" w:rsidRPr="009A56DA" w:rsidRDefault="00AF3F53" w:rsidP="00687A72">
      <w:pPr>
        <w:pBdr>
          <w:top w:val="nil"/>
          <w:left w:val="nil"/>
          <w:bottom w:val="nil"/>
          <w:right w:val="nil"/>
          <w:between w:val="nil"/>
        </w:pBdr>
        <w:spacing w:before="120" w:after="0" w:line="240" w:lineRule="auto"/>
        <w:rPr>
          <w:b/>
          <w:color w:val="000000"/>
          <w:sz w:val="28"/>
          <w:szCs w:val="28"/>
        </w:rPr>
      </w:pPr>
    </w:p>
    <w:p w14:paraId="44A0C04E" w14:textId="7CDF29DF" w:rsidR="00AF3F53" w:rsidRPr="009A56DA" w:rsidRDefault="00E20048" w:rsidP="00687A72">
      <w:pPr>
        <w:numPr>
          <w:ilvl w:val="0"/>
          <w:numId w:val="8"/>
        </w:numPr>
        <w:pBdr>
          <w:top w:val="nil"/>
          <w:left w:val="nil"/>
          <w:bottom w:val="nil"/>
          <w:right w:val="nil"/>
          <w:between w:val="nil"/>
        </w:pBdr>
        <w:spacing w:after="0" w:line="240" w:lineRule="auto"/>
        <w:contextualSpacing/>
        <w:rPr>
          <w:b/>
          <w:color w:val="000000"/>
          <w:sz w:val="28"/>
          <w:szCs w:val="28"/>
        </w:rPr>
      </w:pPr>
      <w:bookmarkStart w:id="11" w:name="_17dp8vu" w:colFirst="0" w:colLast="0"/>
      <w:bookmarkEnd w:id="11"/>
      <w:r w:rsidRPr="009A56DA">
        <w:rPr>
          <w:b/>
          <w:color w:val="000000"/>
          <w:sz w:val="28"/>
          <w:szCs w:val="28"/>
        </w:rPr>
        <w:lastRenderedPageBreak/>
        <w:t>Hypotheses/research questions</w:t>
      </w:r>
    </w:p>
    <w:p w14:paraId="65FE4B86" w14:textId="77777777" w:rsidR="00AF3F53" w:rsidRPr="009A56DA" w:rsidRDefault="00E20048">
      <w:pPr>
        <w:spacing w:before="120" w:after="0" w:line="240" w:lineRule="auto"/>
        <w:jc w:val="both"/>
      </w:pPr>
      <w:r w:rsidRPr="009A56DA">
        <w:t>We hypothesize that a well-coordinated pregnancy and birth registration led by CHVs and health workers can be linked to immunization data at health facility to effectively increase the timeliness of BCG and OPV birth dose vaccination. This is expected to build on existing data collection systems successfully led by CHVs. Both CHVs and health facility staff can be trained to use phones for capturing birth and immunization data. Through automation guided by national algorithms for immunization, text messages generated close to due vaccination dates may increase the timeliness of administering OPV and BCG birth doses. We seek to address the following research questions.</w:t>
      </w:r>
    </w:p>
    <w:p w14:paraId="67A42FB1" w14:textId="35E4EE78" w:rsidR="00AF3F53" w:rsidRPr="009A56DA" w:rsidRDefault="00E20048">
      <w:pPr>
        <w:numPr>
          <w:ilvl w:val="0"/>
          <w:numId w:val="6"/>
        </w:numPr>
        <w:pBdr>
          <w:top w:val="nil"/>
          <w:left w:val="nil"/>
          <w:bottom w:val="nil"/>
          <w:right w:val="nil"/>
          <w:between w:val="nil"/>
        </w:pBdr>
        <w:spacing w:after="0" w:line="240" w:lineRule="auto"/>
        <w:contextualSpacing/>
        <w:jc w:val="both"/>
        <w:rPr>
          <w:color w:val="000000"/>
          <w:sz w:val="21"/>
          <w:szCs w:val="21"/>
        </w:rPr>
      </w:pPr>
      <w:r w:rsidRPr="009A56DA">
        <w:rPr>
          <w:color w:val="000000"/>
          <w:sz w:val="21"/>
          <w:szCs w:val="21"/>
        </w:rPr>
        <w:t xml:space="preserve">Can CHVs </w:t>
      </w:r>
      <w:r w:rsidR="009F4DB0" w:rsidRPr="009A56DA">
        <w:rPr>
          <w:color w:val="000000"/>
          <w:sz w:val="21"/>
          <w:szCs w:val="21"/>
        </w:rPr>
        <w:t xml:space="preserve">accurately </w:t>
      </w:r>
      <w:r w:rsidRPr="009A56DA">
        <w:rPr>
          <w:color w:val="000000"/>
          <w:sz w:val="21"/>
          <w:szCs w:val="21"/>
        </w:rPr>
        <w:t>register pregnant women in their own village using mobile phones?</w:t>
      </w:r>
    </w:p>
    <w:p w14:paraId="20C6753D" w14:textId="77777777" w:rsidR="00AF3F53" w:rsidRPr="009A56DA" w:rsidRDefault="00E20048">
      <w:pPr>
        <w:numPr>
          <w:ilvl w:val="0"/>
          <w:numId w:val="6"/>
        </w:numPr>
        <w:pBdr>
          <w:top w:val="nil"/>
          <w:left w:val="nil"/>
          <w:bottom w:val="nil"/>
          <w:right w:val="nil"/>
          <w:between w:val="nil"/>
        </w:pBdr>
        <w:spacing w:after="0" w:line="240" w:lineRule="auto"/>
        <w:contextualSpacing/>
        <w:jc w:val="both"/>
        <w:rPr>
          <w:color w:val="000000"/>
          <w:sz w:val="21"/>
          <w:szCs w:val="21"/>
        </w:rPr>
      </w:pPr>
      <w:r w:rsidRPr="009A56DA">
        <w:rPr>
          <w:color w:val="000000"/>
          <w:sz w:val="21"/>
          <w:szCs w:val="21"/>
        </w:rPr>
        <w:t>Can health workers register pregnant women at health facilities using mobile phones?</w:t>
      </w:r>
    </w:p>
    <w:p w14:paraId="788C7A20" w14:textId="77777777" w:rsidR="00AF3F53" w:rsidRPr="009A56DA" w:rsidRDefault="00E20048">
      <w:pPr>
        <w:numPr>
          <w:ilvl w:val="0"/>
          <w:numId w:val="6"/>
        </w:numPr>
        <w:pBdr>
          <w:top w:val="nil"/>
          <w:left w:val="nil"/>
          <w:bottom w:val="nil"/>
          <w:right w:val="nil"/>
          <w:between w:val="nil"/>
        </w:pBdr>
        <w:spacing w:after="0" w:line="240" w:lineRule="auto"/>
        <w:contextualSpacing/>
        <w:jc w:val="both"/>
        <w:rPr>
          <w:color w:val="000000"/>
          <w:sz w:val="21"/>
          <w:szCs w:val="21"/>
        </w:rPr>
      </w:pPr>
      <w:r w:rsidRPr="009A56DA">
        <w:rPr>
          <w:color w:val="000000"/>
          <w:sz w:val="21"/>
          <w:szCs w:val="21"/>
        </w:rPr>
        <w:t>Can the data generated from community registration of pregnancies and births by CHVs and health workers in health facilities be used to improve timeliness of administering birth dose vaccines?</w:t>
      </w:r>
    </w:p>
    <w:p w14:paraId="40361D14" w14:textId="77777777" w:rsidR="00AF3F53" w:rsidRPr="009A56DA" w:rsidRDefault="00E20048">
      <w:pPr>
        <w:numPr>
          <w:ilvl w:val="0"/>
          <w:numId w:val="6"/>
        </w:numPr>
        <w:pBdr>
          <w:top w:val="nil"/>
          <w:left w:val="nil"/>
          <w:bottom w:val="nil"/>
          <w:right w:val="nil"/>
          <w:between w:val="nil"/>
        </w:pBdr>
        <w:spacing w:after="0" w:line="240" w:lineRule="auto"/>
        <w:contextualSpacing/>
        <w:jc w:val="both"/>
        <w:rPr>
          <w:color w:val="000000"/>
          <w:sz w:val="21"/>
          <w:szCs w:val="21"/>
        </w:rPr>
      </w:pPr>
      <w:r w:rsidRPr="009A56DA">
        <w:rPr>
          <w:color w:val="000000"/>
          <w:sz w:val="21"/>
          <w:szCs w:val="21"/>
        </w:rPr>
        <w:t>What is the effectiveness of the electronic platform in improving timeliness of birth dose vaccination?</w:t>
      </w:r>
    </w:p>
    <w:p w14:paraId="7706610D" w14:textId="77777777" w:rsidR="00AF3F53" w:rsidRPr="009A56DA" w:rsidRDefault="00E20048">
      <w:pPr>
        <w:numPr>
          <w:ilvl w:val="0"/>
          <w:numId w:val="6"/>
        </w:numPr>
        <w:pBdr>
          <w:top w:val="nil"/>
          <w:left w:val="nil"/>
          <w:bottom w:val="nil"/>
          <w:right w:val="nil"/>
          <w:between w:val="nil"/>
        </w:pBdr>
        <w:spacing w:after="0" w:line="240" w:lineRule="auto"/>
        <w:contextualSpacing/>
        <w:jc w:val="both"/>
        <w:rPr>
          <w:color w:val="000000"/>
          <w:sz w:val="21"/>
          <w:szCs w:val="21"/>
        </w:rPr>
      </w:pPr>
      <w:r w:rsidRPr="009A56DA">
        <w:rPr>
          <w:color w:val="000000"/>
          <w:sz w:val="21"/>
          <w:szCs w:val="21"/>
        </w:rPr>
        <w:t>Is the intervention (electronic registry) a cost-effective venture to improve timeliness of birth dose vaccinations?</w:t>
      </w:r>
    </w:p>
    <w:p w14:paraId="4AC6394A" w14:textId="77777777" w:rsidR="00AF3F53" w:rsidRPr="009A56DA" w:rsidRDefault="00E20048">
      <w:pPr>
        <w:pStyle w:val="Heading1"/>
        <w:rPr>
          <w:b/>
          <w:color w:val="000000"/>
          <w:sz w:val="28"/>
          <w:szCs w:val="28"/>
        </w:rPr>
      </w:pPr>
      <w:bookmarkStart w:id="12" w:name="_3rdcrjn" w:colFirst="0" w:colLast="0"/>
      <w:bookmarkEnd w:id="12"/>
      <w:r w:rsidRPr="009A56DA">
        <w:rPr>
          <w:b/>
          <w:color w:val="000000"/>
          <w:sz w:val="28"/>
          <w:szCs w:val="28"/>
        </w:rPr>
        <w:t>VII. Study Design and Sampling Strategy</w:t>
      </w:r>
    </w:p>
    <w:p w14:paraId="3190B89B" w14:textId="77777777" w:rsidR="00AF3F53" w:rsidRPr="009A56DA" w:rsidRDefault="00E20048">
      <w:pPr>
        <w:spacing w:before="120" w:line="240" w:lineRule="auto"/>
        <w:rPr>
          <w:b/>
        </w:rPr>
      </w:pPr>
      <w:r w:rsidRPr="009A56DA">
        <w:rPr>
          <w:b/>
        </w:rPr>
        <w:t>Study design</w:t>
      </w:r>
    </w:p>
    <w:p w14:paraId="1806DB4B" w14:textId="7ADCF2E0" w:rsidR="00AF3F53" w:rsidRPr="009A56DA" w:rsidRDefault="00E20048">
      <w:pPr>
        <w:spacing w:line="240" w:lineRule="auto"/>
        <w:jc w:val="both"/>
        <w:rPr>
          <w:color w:val="000000"/>
        </w:rPr>
      </w:pPr>
      <w:r w:rsidRPr="009A56DA">
        <w:t xml:space="preserve">We will use a cross-sectional stepped wedge design which will involve </w:t>
      </w:r>
      <w:r w:rsidR="001D4528" w:rsidRPr="009A56DA">
        <w:t xml:space="preserve">a </w:t>
      </w:r>
      <w:r w:rsidRPr="009A56DA">
        <w:t>sequential roll-out the intervention to clusters (defined as a village with one CHV</w:t>
      </w:r>
      <w:r w:rsidR="001D4528" w:rsidRPr="009A56DA">
        <w:t xml:space="preserve"> selected for this study</w:t>
      </w:r>
      <w:r w:rsidRPr="009A56DA">
        <w:t xml:space="preserve">) over a number of time periods. A stepped wedge design allows the intervention to be staggered until all clusters receive the intervention in a </w:t>
      </w:r>
      <w:r w:rsidRPr="009A56DA">
        <w:rPr>
          <w:color w:val="000000"/>
        </w:rPr>
        <w:t>determined random order. The two key reasons for choosing this design are: first, the intervention is likely to do more good than harm and would therefore be unethical to withhold the intervention from some participants of the study [35], secondly for logistical reasons, the intervention can only be implemented in stages [36].</w:t>
      </w:r>
    </w:p>
    <w:p w14:paraId="5A177C93" w14:textId="77777777" w:rsidR="00AF3F53" w:rsidRPr="009A56DA" w:rsidRDefault="00E20048">
      <w:pPr>
        <w:spacing w:before="120" w:line="240" w:lineRule="auto"/>
        <w:jc w:val="both"/>
      </w:pPr>
      <w:r w:rsidRPr="009A56DA">
        <w:t>Baseline measurements of timely vaccination will be taken in all study villages at month 0 followed by introduction of the intervention sequentially in three time points 2 months apart. Initially three villages will receive the intervention followed by six after four months and finally all eight villages at six months will be included in the intervention. Timeliness of vaccination will be estimated at each point. Table 1 shows the sequential roll out of the intervention at given time points in the 8 villages.</w:t>
      </w:r>
    </w:p>
    <w:p w14:paraId="2CAF9A38" w14:textId="77777777" w:rsidR="00504123" w:rsidRPr="009A56DA" w:rsidRDefault="00504123">
      <w:pPr>
        <w:spacing w:before="120" w:line="240" w:lineRule="auto"/>
        <w:jc w:val="both"/>
      </w:pPr>
    </w:p>
    <w:p w14:paraId="5B6119B2" w14:textId="77777777" w:rsidR="00AF3F53" w:rsidRPr="009A56DA" w:rsidRDefault="00E20048">
      <w:pPr>
        <w:spacing w:before="120" w:line="240" w:lineRule="auto"/>
        <w:jc w:val="both"/>
        <w:rPr>
          <w:b/>
        </w:rPr>
      </w:pPr>
      <w:r w:rsidRPr="009A56DA">
        <w:rPr>
          <w:b/>
        </w:rPr>
        <w:t>Table 1: Sequential sampling of study villages for recruitment of pregnant women</w:t>
      </w:r>
    </w:p>
    <w:tbl>
      <w:tblPr>
        <w:tblStyle w:val="a"/>
        <w:tblW w:w="7700" w:type="dxa"/>
        <w:tblLayout w:type="fixed"/>
        <w:tblLook w:val="0400" w:firstRow="0" w:lastRow="0" w:firstColumn="0" w:lastColumn="0" w:noHBand="0" w:noVBand="1"/>
      </w:tblPr>
      <w:tblGrid>
        <w:gridCol w:w="2640"/>
        <w:gridCol w:w="1247"/>
        <w:gridCol w:w="1271"/>
        <w:gridCol w:w="1271"/>
        <w:gridCol w:w="1271"/>
      </w:tblGrid>
      <w:tr w:rsidR="00AF3F53" w:rsidRPr="009A56DA" w14:paraId="259A4AD4" w14:textId="77777777">
        <w:trPr>
          <w:trHeight w:val="300"/>
        </w:trPr>
        <w:tc>
          <w:tcPr>
            <w:tcW w:w="26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23AE3C" w14:textId="77777777" w:rsidR="00AF3F53" w:rsidRPr="009A56DA" w:rsidRDefault="00E20048">
            <w:pPr>
              <w:spacing w:after="0" w:line="240" w:lineRule="auto"/>
              <w:rPr>
                <w:color w:val="000000"/>
              </w:rPr>
            </w:pPr>
            <w:r w:rsidRPr="009A56DA">
              <w:rPr>
                <w:color w:val="000000"/>
              </w:rPr>
              <w:t> </w:t>
            </w:r>
          </w:p>
        </w:tc>
        <w:tc>
          <w:tcPr>
            <w:tcW w:w="5060" w:type="dxa"/>
            <w:gridSpan w:val="4"/>
            <w:tcBorders>
              <w:top w:val="single" w:sz="4" w:space="0" w:color="000000"/>
              <w:left w:val="nil"/>
              <w:bottom w:val="single" w:sz="4" w:space="0" w:color="000000"/>
              <w:right w:val="single" w:sz="4" w:space="0" w:color="000000"/>
            </w:tcBorders>
            <w:shd w:val="clear" w:color="auto" w:fill="auto"/>
            <w:vAlign w:val="bottom"/>
          </w:tcPr>
          <w:p w14:paraId="6EE01533" w14:textId="77777777" w:rsidR="00AF3F53" w:rsidRPr="009A56DA" w:rsidRDefault="00E20048">
            <w:pPr>
              <w:spacing w:after="0" w:line="240" w:lineRule="auto"/>
              <w:jc w:val="center"/>
              <w:rPr>
                <w:b/>
                <w:color w:val="000000"/>
              </w:rPr>
            </w:pPr>
            <w:r w:rsidRPr="009A56DA">
              <w:rPr>
                <w:b/>
                <w:color w:val="000000"/>
              </w:rPr>
              <w:t>Time points</w:t>
            </w:r>
          </w:p>
        </w:tc>
      </w:tr>
      <w:tr w:rsidR="00AF3F53" w:rsidRPr="009A56DA" w14:paraId="689C14EA" w14:textId="77777777">
        <w:trPr>
          <w:trHeight w:val="300"/>
        </w:trPr>
        <w:tc>
          <w:tcPr>
            <w:tcW w:w="2640" w:type="dxa"/>
            <w:tcBorders>
              <w:top w:val="nil"/>
              <w:left w:val="single" w:sz="4" w:space="0" w:color="000000"/>
              <w:bottom w:val="single" w:sz="4" w:space="0" w:color="000000"/>
              <w:right w:val="single" w:sz="4" w:space="0" w:color="000000"/>
            </w:tcBorders>
            <w:shd w:val="clear" w:color="auto" w:fill="auto"/>
            <w:vAlign w:val="bottom"/>
          </w:tcPr>
          <w:p w14:paraId="2B355FE3" w14:textId="77777777" w:rsidR="00AF3F53" w:rsidRPr="009A56DA" w:rsidRDefault="00E20048">
            <w:pPr>
              <w:spacing w:after="0" w:line="240" w:lineRule="auto"/>
              <w:rPr>
                <w:b/>
                <w:color w:val="000000"/>
              </w:rPr>
            </w:pPr>
            <w:r w:rsidRPr="009A56DA">
              <w:rPr>
                <w:b/>
                <w:color w:val="000000"/>
              </w:rPr>
              <w:t>Group (clusters)-villages</w:t>
            </w:r>
          </w:p>
        </w:tc>
        <w:tc>
          <w:tcPr>
            <w:tcW w:w="1247" w:type="dxa"/>
            <w:tcBorders>
              <w:top w:val="nil"/>
              <w:left w:val="nil"/>
              <w:bottom w:val="single" w:sz="4" w:space="0" w:color="000000"/>
              <w:right w:val="single" w:sz="4" w:space="0" w:color="000000"/>
            </w:tcBorders>
            <w:shd w:val="clear" w:color="auto" w:fill="auto"/>
            <w:vAlign w:val="bottom"/>
          </w:tcPr>
          <w:p w14:paraId="39AC5C22" w14:textId="77777777" w:rsidR="00AF3F53" w:rsidRPr="009A56DA" w:rsidRDefault="00E20048">
            <w:pPr>
              <w:spacing w:after="0" w:line="240" w:lineRule="auto"/>
              <w:rPr>
                <w:b/>
                <w:color w:val="000000"/>
              </w:rPr>
            </w:pPr>
            <w:r w:rsidRPr="009A56DA">
              <w:rPr>
                <w:b/>
                <w:color w:val="000000"/>
              </w:rPr>
              <w:t>Month 0</w:t>
            </w:r>
          </w:p>
        </w:tc>
        <w:tc>
          <w:tcPr>
            <w:tcW w:w="1271" w:type="dxa"/>
            <w:tcBorders>
              <w:top w:val="nil"/>
              <w:left w:val="nil"/>
              <w:bottom w:val="single" w:sz="4" w:space="0" w:color="000000"/>
              <w:right w:val="single" w:sz="4" w:space="0" w:color="000000"/>
            </w:tcBorders>
            <w:shd w:val="clear" w:color="auto" w:fill="auto"/>
            <w:vAlign w:val="bottom"/>
          </w:tcPr>
          <w:p w14:paraId="245767EF" w14:textId="77777777" w:rsidR="00AF3F53" w:rsidRPr="009A56DA" w:rsidRDefault="00E20048">
            <w:pPr>
              <w:spacing w:after="0" w:line="240" w:lineRule="auto"/>
              <w:rPr>
                <w:b/>
                <w:color w:val="000000"/>
              </w:rPr>
            </w:pPr>
            <w:r w:rsidRPr="009A56DA">
              <w:rPr>
                <w:b/>
                <w:color w:val="000000"/>
              </w:rPr>
              <w:t>Month-2</w:t>
            </w:r>
          </w:p>
        </w:tc>
        <w:tc>
          <w:tcPr>
            <w:tcW w:w="1271" w:type="dxa"/>
            <w:tcBorders>
              <w:top w:val="nil"/>
              <w:left w:val="nil"/>
              <w:bottom w:val="single" w:sz="4" w:space="0" w:color="000000"/>
              <w:right w:val="single" w:sz="4" w:space="0" w:color="000000"/>
            </w:tcBorders>
            <w:shd w:val="clear" w:color="auto" w:fill="auto"/>
            <w:vAlign w:val="bottom"/>
          </w:tcPr>
          <w:p w14:paraId="483AFEA9" w14:textId="77777777" w:rsidR="00AF3F53" w:rsidRPr="009A56DA" w:rsidRDefault="00E20048">
            <w:pPr>
              <w:spacing w:after="0" w:line="240" w:lineRule="auto"/>
              <w:rPr>
                <w:b/>
                <w:color w:val="000000"/>
              </w:rPr>
            </w:pPr>
            <w:r w:rsidRPr="009A56DA">
              <w:rPr>
                <w:b/>
                <w:color w:val="000000"/>
              </w:rPr>
              <w:t>Month-4</w:t>
            </w:r>
          </w:p>
        </w:tc>
        <w:tc>
          <w:tcPr>
            <w:tcW w:w="1271" w:type="dxa"/>
            <w:tcBorders>
              <w:top w:val="nil"/>
              <w:left w:val="nil"/>
              <w:bottom w:val="single" w:sz="4" w:space="0" w:color="000000"/>
              <w:right w:val="single" w:sz="4" w:space="0" w:color="000000"/>
            </w:tcBorders>
            <w:shd w:val="clear" w:color="auto" w:fill="auto"/>
            <w:vAlign w:val="bottom"/>
          </w:tcPr>
          <w:p w14:paraId="1A487423" w14:textId="77777777" w:rsidR="00AF3F53" w:rsidRPr="009A56DA" w:rsidRDefault="00E20048">
            <w:pPr>
              <w:spacing w:after="0" w:line="240" w:lineRule="auto"/>
              <w:rPr>
                <w:b/>
                <w:color w:val="000000"/>
              </w:rPr>
            </w:pPr>
            <w:r w:rsidRPr="009A56DA">
              <w:rPr>
                <w:b/>
                <w:color w:val="000000"/>
              </w:rPr>
              <w:t>Month-6</w:t>
            </w:r>
          </w:p>
        </w:tc>
      </w:tr>
      <w:tr w:rsidR="00AF3F53" w:rsidRPr="009A56DA" w14:paraId="1C2D4068" w14:textId="77777777">
        <w:trPr>
          <w:trHeight w:val="300"/>
        </w:trPr>
        <w:tc>
          <w:tcPr>
            <w:tcW w:w="2640" w:type="dxa"/>
            <w:tcBorders>
              <w:top w:val="nil"/>
              <w:left w:val="single" w:sz="4" w:space="0" w:color="000000"/>
              <w:bottom w:val="single" w:sz="4" w:space="0" w:color="000000"/>
              <w:right w:val="single" w:sz="4" w:space="0" w:color="000000"/>
            </w:tcBorders>
            <w:shd w:val="clear" w:color="auto" w:fill="auto"/>
            <w:vAlign w:val="bottom"/>
          </w:tcPr>
          <w:p w14:paraId="46DB49AC" w14:textId="77777777" w:rsidR="00AF3F53" w:rsidRPr="009A56DA" w:rsidRDefault="00E20048">
            <w:pPr>
              <w:spacing w:after="0" w:line="240" w:lineRule="auto"/>
              <w:jc w:val="right"/>
              <w:rPr>
                <w:b/>
                <w:color w:val="000000"/>
              </w:rPr>
            </w:pPr>
            <w:r w:rsidRPr="009A56DA">
              <w:rPr>
                <w:b/>
                <w:color w:val="000000"/>
              </w:rPr>
              <w:t>3</w:t>
            </w:r>
          </w:p>
        </w:tc>
        <w:tc>
          <w:tcPr>
            <w:tcW w:w="1247" w:type="dxa"/>
            <w:tcBorders>
              <w:top w:val="nil"/>
              <w:left w:val="nil"/>
              <w:bottom w:val="single" w:sz="4" w:space="0" w:color="000000"/>
              <w:right w:val="single" w:sz="4" w:space="0" w:color="000000"/>
            </w:tcBorders>
            <w:shd w:val="clear" w:color="auto" w:fill="auto"/>
            <w:vAlign w:val="bottom"/>
          </w:tcPr>
          <w:p w14:paraId="65A61E34" w14:textId="77777777" w:rsidR="00AF3F53" w:rsidRPr="009A56DA" w:rsidRDefault="00E20048">
            <w:pPr>
              <w:spacing w:after="0" w:line="240" w:lineRule="auto"/>
              <w:jc w:val="right"/>
              <w:rPr>
                <w:b/>
                <w:color w:val="000000"/>
              </w:rPr>
            </w:pPr>
            <w:r w:rsidRPr="009A56DA">
              <w:rPr>
                <w:b/>
                <w:color w:val="000000"/>
              </w:rPr>
              <w:t>0</w:t>
            </w:r>
          </w:p>
        </w:tc>
        <w:tc>
          <w:tcPr>
            <w:tcW w:w="1271" w:type="dxa"/>
            <w:tcBorders>
              <w:top w:val="nil"/>
              <w:left w:val="nil"/>
              <w:bottom w:val="single" w:sz="4" w:space="0" w:color="000000"/>
              <w:right w:val="single" w:sz="4" w:space="0" w:color="000000"/>
            </w:tcBorders>
            <w:shd w:val="clear" w:color="auto" w:fill="auto"/>
            <w:vAlign w:val="bottom"/>
          </w:tcPr>
          <w:p w14:paraId="30E19F1D" w14:textId="77777777" w:rsidR="00AF3F53" w:rsidRPr="009A56DA" w:rsidRDefault="00E20048">
            <w:pPr>
              <w:spacing w:after="0" w:line="240" w:lineRule="auto"/>
              <w:jc w:val="right"/>
              <w:rPr>
                <w:b/>
                <w:color w:val="000000"/>
              </w:rPr>
            </w:pPr>
            <w:r w:rsidRPr="009A56DA">
              <w:rPr>
                <w:b/>
                <w:color w:val="000000"/>
              </w:rPr>
              <w:t>1</w:t>
            </w:r>
          </w:p>
        </w:tc>
        <w:tc>
          <w:tcPr>
            <w:tcW w:w="1271" w:type="dxa"/>
            <w:tcBorders>
              <w:top w:val="nil"/>
              <w:left w:val="nil"/>
              <w:bottom w:val="single" w:sz="4" w:space="0" w:color="000000"/>
              <w:right w:val="single" w:sz="4" w:space="0" w:color="000000"/>
            </w:tcBorders>
            <w:shd w:val="clear" w:color="auto" w:fill="auto"/>
            <w:vAlign w:val="bottom"/>
          </w:tcPr>
          <w:p w14:paraId="5AA1D66D" w14:textId="77777777" w:rsidR="00AF3F53" w:rsidRPr="009A56DA" w:rsidRDefault="00E20048">
            <w:pPr>
              <w:spacing w:after="0" w:line="240" w:lineRule="auto"/>
              <w:jc w:val="right"/>
              <w:rPr>
                <w:b/>
                <w:color w:val="000000"/>
              </w:rPr>
            </w:pPr>
            <w:r w:rsidRPr="009A56DA">
              <w:rPr>
                <w:b/>
                <w:color w:val="000000"/>
              </w:rPr>
              <w:t>1</w:t>
            </w:r>
          </w:p>
        </w:tc>
        <w:tc>
          <w:tcPr>
            <w:tcW w:w="1271" w:type="dxa"/>
            <w:tcBorders>
              <w:top w:val="nil"/>
              <w:left w:val="nil"/>
              <w:bottom w:val="single" w:sz="4" w:space="0" w:color="000000"/>
              <w:right w:val="single" w:sz="4" w:space="0" w:color="000000"/>
            </w:tcBorders>
            <w:shd w:val="clear" w:color="auto" w:fill="auto"/>
            <w:vAlign w:val="bottom"/>
          </w:tcPr>
          <w:p w14:paraId="0DAC0AF6" w14:textId="77777777" w:rsidR="00AF3F53" w:rsidRPr="009A56DA" w:rsidRDefault="00E20048">
            <w:pPr>
              <w:spacing w:after="0" w:line="240" w:lineRule="auto"/>
              <w:jc w:val="right"/>
              <w:rPr>
                <w:b/>
                <w:color w:val="000000"/>
              </w:rPr>
            </w:pPr>
            <w:r w:rsidRPr="009A56DA">
              <w:rPr>
                <w:b/>
                <w:color w:val="000000"/>
              </w:rPr>
              <w:t>1</w:t>
            </w:r>
          </w:p>
        </w:tc>
      </w:tr>
      <w:tr w:rsidR="00AF3F53" w:rsidRPr="009A56DA" w14:paraId="23B6C530" w14:textId="77777777">
        <w:trPr>
          <w:trHeight w:val="300"/>
        </w:trPr>
        <w:tc>
          <w:tcPr>
            <w:tcW w:w="2640" w:type="dxa"/>
            <w:tcBorders>
              <w:top w:val="nil"/>
              <w:left w:val="single" w:sz="4" w:space="0" w:color="000000"/>
              <w:bottom w:val="single" w:sz="4" w:space="0" w:color="000000"/>
              <w:right w:val="single" w:sz="4" w:space="0" w:color="000000"/>
            </w:tcBorders>
            <w:shd w:val="clear" w:color="auto" w:fill="auto"/>
            <w:vAlign w:val="bottom"/>
          </w:tcPr>
          <w:p w14:paraId="0F0CA2BC" w14:textId="77777777" w:rsidR="00AF3F53" w:rsidRPr="009A56DA" w:rsidRDefault="00E20048">
            <w:pPr>
              <w:spacing w:after="0" w:line="240" w:lineRule="auto"/>
              <w:jc w:val="right"/>
              <w:rPr>
                <w:b/>
                <w:color w:val="000000"/>
              </w:rPr>
            </w:pPr>
            <w:r w:rsidRPr="009A56DA">
              <w:rPr>
                <w:b/>
                <w:color w:val="000000"/>
              </w:rPr>
              <w:t>3</w:t>
            </w:r>
          </w:p>
        </w:tc>
        <w:tc>
          <w:tcPr>
            <w:tcW w:w="1247" w:type="dxa"/>
            <w:tcBorders>
              <w:top w:val="nil"/>
              <w:left w:val="nil"/>
              <w:bottom w:val="single" w:sz="4" w:space="0" w:color="000000"/>
              <w:right w:val="single" w:sz="4" w:space="0" w:color="000000"/>
            </w:tcBorders>
            <w:shd w:val="clear" w:color="auto" w:fill="auto"/>
            <w:vAlign w:val="bottom"/>
          </w:tcPr>
          <w:p w14:paraId="72CBCEAD" w14:textId="77777777" w:rsidR="00AF3F53" w:rsidRPr="009A56DA" w:rsidRDefault="00E20048">
            <w:pPr>
              <w:spacing w:after="0" w:line="240" w:lineRule="auto"/>
              <w:jc w:val="right"/>
              <w:rPr>
                <w:b/>
                <w:color w:val="000000"/>
              </w:rPr>
            </w:pPr>
            <w:r w:rsidRPr="009A56DA">
              <w:rPr>
                <w:b/>
                <w:color w:val="000000"/>
              </w:rPr>
              <w:t>0</w:t>
            </w:r>
          </w:p>
        </w:tc>
        <w:tc>
          <w:tcPr>
            <w:tcW w:w="1271" w:type="dxa"/>
            <w:tcBorders>
              <w:top w:val="nil"/>
              <w:left w:val="nil"/>
              <w:bottom w:val="single" w:sz="4" w:space="0" w:color="000000"/>
              <w:right w:val="single" w:sz="4" w:space="0" w:color="000000"/>
            </w:tcBorders>
            <w:shd w:val="clear" w:color="auto" w:fill="auto"/>
            <w:vAlign w:val="bottom"/>
          </w:tcPr>
          <w:p w14:paraId="0FC4AE86" w14:textId="77777777" w:rsidR="00AF3F53" w:rsidRPr="009A56DA" w:rsidRDefault="00E20048">
            <w:pPr>
              <w:spacing w:after="0" w:line="240" w:lineRule="auto"/>
              <w:jc w:val="right"/>
              <w:rPr>
                <w:b/>
                <w:color w:val="000000"/>
              </w:rPr>
            </w:pPr>
            <w:r w:rsidRPr="009A56DA">
              <w:rPr>
                <w:b/>
                <w:color w:val="000000"/>
              </w:rPr>
              <w:t>0</w:t>
            </w:r>
          </w:p>
        </w:tc>
        <w:tc>
          <w:tcPr>
            <w:tcW w:w="1271" w:type="dxa"/>
            <w:tcBorders>
              <w:top w:val="nil"/>
              <w:left w:val="nil"/>
              <w:bottom w:val="single" w:sz="4" w:space="0" w:color="000000"/>
              <w:right w:val="single" w:sz="4" w:space="0" w:color="000000"/>
            </w:tcBorders>
            <w:shd w:val="clear" w:color="auto" w:fill="auto"/>
            <w:vAlign w:val="bottom"/>
          </w:tcPr>
          <w:p w14:paraId="0767FEE9" w14:textId="77777777" w:rsidR="00AF3F53" w:rsidRPr="009A56DA" w:rsidRDefault="00E20048">
            <w:pPr>
              <w:spacing w:after="0" w:line="240" w:lineRule="auto"/>
              <w:jc w:val="right"/>
              <w:rPr>
                <w:b/>
                <w:color w:val="000000"/>
              </w:rPr>
            </w:pPr>
            <w:r w:rsidRPr="009A56DA">
              <w:rPr>
                <w:b/>
                <w:color w:val="000000"/>
              </w:rPr>
              <w:t>1</w:t>
            </w:r>
          </w:p>
        </w:tc>
        <w:tc>
          <w:tcPr>
            <w:tcW w:w="1271" w:type="dxa"/>
            <w:tcBorders>
              <w:top w:val="nil"/>
              <w:left w:val="nil"/>
              <w:bottom w:val="single" w:sz="4" w:space="0" w:color="000000"/>
              <w:right w:val="single" w:sz="4" w:space="0" w:color="000000"/>
            </w:tcBorders>
            <w:shd w:val="clear" w:color="auto" w:fill="auto"/>
            <w:vAlign w:val="bottom"/>
          </w:tcPr>
          <w:p w14:paraId="3BAAD4E9" w14:textId="77777777" w:rsidR="00AF3F53" w:rsidRPr="009A56DA" w:rsidRDefault="00E20048">
            <w:pPr>
              <w:spacing w:after="0" w:line="240" w:lineRule="auto"/>
              <w:jc w:val="right"/>
              <w:rPr>
                <w:b/>
                <w:color w:val="000000"/>
              </w:rPr>
            </w:pPr>
            <w:r w:rsidRPr="009A56DA">
              <w:rPr>
                <w:b/>
                <w:color w:val="000000"/>
              </w:rPr>
              <w:t>1</w:t>
            </w:r>
          </w:p>
        </w:tc>
      </w:tr>
      <w:tr w:rsidR="00AF3F53" w:rsidRPr="009A56DA" w14:paraId="7C6C558E" w14:textId="77777777">
        <w:trPr>
          <w:trHeight w:val="300"/>
        </w:trPr>
        <w:tc>
          <w:tcPr>
            <w:tcW w:w="2640" w:type="dxa"/>
            <w:tcBorders>
              <w:top w:val="nil"/>
              <w:left w:val="single" w:sz="4" w:space="0" w:color="000000"/>
              <w:bottom w:val="single" w:sz="4" w:space="0" w:color="000000"/>
              <w:right w:val="single" w:sz="4" w:space="0" w:color="000000"/>
            </w:tcBorders>
            <w:shd w:val="clear" w:color="auto" w:fill="auto"/>
            <w:vAlign w:val="bottom"/>
          </w:tcPr>
          <w:p w14:paraId="35B79469" w14:textId="77777777" w:rsidR="00AF3F53" w:rsidRPr="009A56DA" w:rsidRDefault="00E20048">
            <w:pPr>
              <w:spacing w:after="0" w:line="240" w:lineRule="auto"/>
              <w:jc w:val="right"/>
              <w:rPr>
                <w:b/>
                <w:color w:val="000000"/>
              </w:rPr>
            </w:pPr>
            <w:r w:rsidRPr="009A56DA">
              <w:rPr>
                <w:b/>
                <w:color w:val="000000"/>
              </w:rPr>
              <w:t>2</w:t>
            </w:r>
          </w:p>
        </w:tc>
        <w:tc>
          <w:tcPr>
            <w:tcW w:w="1247" w:type="dxa"/>
            <w:tcBorders>
              <w:top w:val="nil"/>
              <w:left w:val="nil"/>
              <w:bottom w:val="single" w:sz="4" w:space="0" w:color="000000"/>
              <w:right w:val="single" w:sz="4" w:space="0" w:color="000000"/>
            </w:tcBorders>
            <w:shd w:val="clear" w:color="auto" w:fill="auto"/>
            <w:vAlign w:val="bottom"/>
          </w:tcPr>
          <w:p w14:paraId="5EC54F0B" w14:textId="77777777" w:rsidR="00AF3F53" w:rsidRPr="009A56DA" w:rsidRDefault="00E20048">
            <w:pPr>
              <w:spacing w:after="0" w:line="240" w:lineRule="auto"/>
              <w:jc w:val="right"/>
              <w:rPr>
                <w:b/>
                <w:color w:val="000000"/>
              </w:rPr>
            </w:pPr>
            <w:r w:rsidRPr="009A56DA">
              <w:rPr>
                <w:b/>
                <w:color w:val="000000"/>
              </w:rPr>
              <w:t>0</w:t>
            </w:r>
          </w:p>
        </w:tc>
        <w:tc>
          <w:tcPr>
            <w:tcW w:w="1271" w:type="dxa"/>
            <w:tcBorders>
              <w:top w:val="nil"/>
              <w:left w:val="nil"/>
              <w:bottom w:val="single" w:sz="4" w:space="0" w:color="000000"/>
              <w:right w:val="single" w:sz="4" w:space="0" w:color="000000"/>
            </w:tcBorders>
            <w:shd w:val="clear" w:color="auto" w:fill="auto"/>
            <w:vAlign w:val="bottom"/>
          </w:tcPr>
          <w:p w14:paraId="52763D19" w14:textId="77777777" w:rsidR="00AF3F53" w:rsidRPr="009A56DA" w:rsidRDefault="00E20048">
            <w:pPr>
              <w:spacing w:after="0" w:line="240" w:lineRule="auto"/>
              <w:jc w:val="right"/>
              <w:rPr>
                <w:b/>
                <w:color w:val="000000"/>
              </w:rPr>
            </w:pPr>
            <w:r w:rsidRPr="009A56DA">
              <w:rPr>
                <w:b/>
                <w:color w:val="000000"/>
              </w:rPr>
              <w:t>0</w:t>
            </w:r>
          </w:p>
        </w:tc>
        <w:tc>
          <w:tcPr>
            <w:tcW w:w="1271" w:type="dxa"/>
            <w:tcBorders>
              <w:top w:val="nil"/>
              <w:left w:val="nil"/>
              <w:bottom w:val="single" w:sz="4" w:space="0" w:color="000000"/>
              <w:right w:val="single" w:sz="4" w:space="0" w:color="000000"/>
            </w:tcBorders>
            <w:shd w:val="clear" w:color="auto" w:fill="auto"/>
            <w:vAlign w:val="bottom"/>
          </w:tcPr>
          <w:p w14:paraId="1D12DBB3" w14:textId="77777777" w:rsidR="00AF3F53" w:rsidRPr="009A56DA" w:rsidRDefault="00E20048">
            <w:pPr>
              <w:spacing w:after="0" w:line="240" w:lineRule="auto"/>
              <w:jc w:val="right"/>
              <w:rPr>
                <w:b/>
                <w:color w:val="000000"/>
              </w:rPr>
            </w:pPr>
            <w:r w:rsidRPr="009A56DA">
              <w:rPr>
                <w:b/>
                <w:color w:val="000000"/>
              </w:rPr>
              <w:t>0</w:t>
            </w:r>
          </w:p>
        </w:tc>
        <w:tc>
          <w:tcPr>
            <w:tcW w:w="1271" w:type="dxa"/>
            <w:tcBorders>
              <w:top w:val="nil"/>
              <w:left w:val="nil"/>
              <w:bottom w:val="single" w:sz="4" w:space="0" w:color="000000"/>
              <w:right w:val="single" w:sz="4" w:space="0" w:color="000000"/>
            </w:tcBorders>
            <w:shd w:val="clear" w:color="auto" w:fill="auto"/>
            <w:vAlign w:val="bottom"/>
          </w:tcPr>
          <w:p w14:paraId="77831FEA" w14:textId="77777777" w:rsidR="00AF3F53" w:rsidRPr="009A56DA" w:rsidRDefault="00E20048">
            <w:pPr>
              <w:spacing w:after="0" w:line="240" w:lineRule="auto"/>
              <w:jc w:val="right"/>
              <w:rPr>
                <w:b/>
                <w:color w:val="000000"/>
              </w:rPr>
            </w:pPr>
            <w:r w:rsidRPr="009A56DA">
              <w:rPr>
                <w:b/>
                <w:color w:val="000000"/>
              </w:rPr>
              <w:t>1</w:t>
            </w:r>
          </w:p>
        </w:tc>
      </w:tr>
    </w:tbl>
    <w:p w14:paraId="631B2B09" w14:textId="77777777" w:rsidR="00AF3F53" w:rsidRPr="009A56DA" w:rsidRDefault="00E20048">
      <w:pPr>
        <w:jc w:val="both"/>
        <w:rPr>
          <w:color w:val="000000"/>
        </w:rPr>
      </w:pPr>
      <w:r w:rsidRPr="009A56DA">
        <w:t xml:space="preserve">Note: </w:t>
      </w:r>
      <w:r w:rsidRPr="009A56DA">
        <w:rPr>
          <w:color w:val="000000"/>
        </w:rPr>
        <w:t xml:space="preserve">0 means the clusters have not received the intervention while 1 means that the clusters have received the intervention. The order of switching of cluster will be randomly determined.  </w:t>
      </w:r>
    </w:p>
    <w:p w14:paraId="244EDB40" w14:textId="77777777" w:rsidR="00AF3F53" w:rsidRPr="009A56DA" w:rsidRDefault="00AF3F53">
      <w:pPr>
        <w:spacing w:line="240" w:lineRule="auto"/>
        <w:jc w:val="both"/>
        <w:rPr>
          <w:color w:val="000000"/>
        </w:rPr>
      </w:pPr>
    </w:p>
    <w:p w14:paraId="003DFE12" w14:textId="77777777" w:rsidR="00AF3F53" w:rsidRPr="009A56DA" w:rsidRDefault="00AF3F53">
      <w:pPr>
        <w:spacing w:line="240" w:lineRule="auto"/>
        <w:jc w:val="both"/>
        <w:rPr>
          <w:color w:val="000000"/>
        </w:rPr>
      </w:pPr>
    </w:p>
    <w:p w14:paraId="6548A784" w14:textId="77777777" w:rsidR="00AF3F53" w:rsidRPr="009A56DA" w:rsidRDefault="00E20048">
      <w:pPr>
        <w:spacing w:before="120" w:line="240" w:lineRule="auto"/>
        <w:rPr>
          <w:b/>
        </w:rPr>
      </w:pPr>
      <w:r w:rsidRPr="009A56DA">
        <w:rPr>
          <w:b/>
        </w:rPr>
        <w:lastRenderedPageBreak/>
        <w:t>Study site (geographical)</w:t>
      </w:r>
    </w:p>
    <w:p w14:paraId="2F4F6EE3" w14:textId="36F1A805" w:rsidR="00AF3F53" w:rsidRPr="009A56DA" w:rsidRDefault="00E20048">
      <w:pPr>
        <w:spacing w:before="120" w:after="0" w:line="240" w:lineRule="auto"/>
        <w:jc w:val="both"/>
        <w:rPr>
          <w:b/>
        </w:rPr>
      </w:pPr>
      <w:r w:rsidRPr="009A56DA">
        <w:t>The study will be conducted in Viwandani, a Nairobi Urban Health and Demographic Surveillance System (NUHDSS) site [37], which has a population of 49,000 people, birth rate of 16 per 1000 per year, infant mortality rate of</w:t>
      </w:r>
      <w:r w:rsidRPr="009A56DA">
        <w:rPr>
          <w:color w:val="222222"/>
        </w:rPr>
        <w:t xml:space="preserve"> 34.7/1000 and</w:t>
      </w:r>
      <w:r w:rsidRPr="009A56DA">
        <w:t xml:space="preserve"> timely vaccination coverage of 22% [10]. Viwandani is well characterized as a mobile population, with challenges of health services uptake, therefore suitable for testing this intervention.</w:t>
      </w:r>
    </w:p>
    <w:p w14:paraId="155DCCF7" w14:textId="77777777" w:rsidR="00AF3F53" w:rsidRPr="009A56DA" w:rsidRDefault="00E20048">
      <w:pPr>
        <w:spacing w:before="120" w:line="240" w:lineRule="auto"/>
        <w:rPr>
          <w:b/>
        </w:rPr>
      </w:pPr>
      <w:r w:rsidRPr="009A56DA">
        <w:rPr>
          <w:b/>
        </w:rPr>
        <w:t>Study populations</w:t>
      </w:r>
    </w:p>
    <w:p w14:paraId="4A8CD2AE" w14:textId="6FC7A759" w:rsidR="00AF3F53" w:rsidRPr="009A56DA" w:rsidRDefault="00E20048">
      <w:pPr>
        <w:spacing w:before="120" w:after="0" w:line="240" w:lineRule="auto"/>
        <w:jc w:val="both"/>
      </w:pPr>
      <w:r w:rsidRPr="009A56DA">
        <w:t xml:space="preserve">Pregnant women will be recruited in their second or last trimester, followed to birth and infant-mother pair followed two months after birth. </w:t>
      </w:r>
    </w:p>
    <w:p w14:paraId="177B4AD5" w14:textId="77777777" w:rsidR="00AF3F53" w:rsidRPr="009A56DA" w:rsidRDefault="00E20048">
      <w:pPr>
        <w:pStyle w:val="Heading3"/>
        <w:rPr>
          <w:b/>
          <w:color w:val="000000"/>
        </w:rPr>
      </w:pPr>
      <w:bookmarkStart w:id="13" w:name="_26in1rg" w:colFirst="0" w:colLast="0"/>
      <w:bookmarkEnd w:id="13"/>
      <w:r w:rsidRPr="009A56DA">
        <w:rPr>
          <w:b/>
          <w:color w:val="000000"/>
        </w:rPr>
        <w:t>Inclusion criteria</w:t>
      </w:r>
    </w:p>
    <w:p w14:paraId="6FF29D40" w14:textId="77777777" w:rsidR="00AF3F53" w:rsidRPr="009A56DA" w:rsidRDefault="00E20048">
      <w:pPr>
        <w:spacing w:line="240" w:lineRule="auto"/>
      </w:pPr>
      <w:r w:rsidRPr="009A56DA">
        <w:t>The following criteria will be used to enroll women in the study:</w:t>
      </w:r>
    </w:p>
    <w:p w14:paraId="49879237" w14:textId="596BF1E0" w:rsidR="00AF3F53" w:rsidRPr="009A56DA" w:rsidRDefault="00E20048">
      <w:pPr>
        <w:numPr>
          <w:ilvl w:val="0"/>
          <w:numId w:val="11"/>
        </w:numPr>
        <w:pBdr>
          <w:top w:val="nil"/>
          <w:left w:val="nil"/>
          <w:bottom w:val="nil"/>
          <w:right w:val="nil"/>
          <w:between w:val="nil"/>
        </w:pBdr>
        <w:spacing w:after="0" w:line="240" w:lineRule="auto"/>
        <w:contextualSpacing/>
        <w:jc w:val="both"/>
        <w:rPr>
          <w:color w:val="000000"/>
        </w:rPr>
      </w:pPr>
      <w:r w:rsidRPr="009A56DA">
        <w:rPr>
          <w:color w:val="000000"/>
        </w:rPr>
        <w:t>Pregnant wom</w:t>
      </w:r>
      <w:r w:rsidRPr="009A56DA">
        <w:t>e</w:t>
      </w:r>
      <w:r w:rsidRPr="009A56DA">
        <w:rPr>
          <w:color w:val="000000"/>
        </w:rPr>
        <w:t>n living in Viwandani and in their second or third trimester (5-9 months of pregnancy)</w:t>
      </w:r>
    </w:p>
    <w:p w14:paraId="71012C75" w14:textId="1D2AF19F" w:rsidR="00AF3F53" w:rsidRPr="009A56DA" w:rsidRDefault="00E20048">
      <w:pPr>
        <w:numPr>
          <w:ilvl w:val="0"/>
          <w:numId w:val="11"/>
        </w:numPr>
        <w:pBdr>
          <w:top w:val="nil"/>
          <w:left w:val="nil"/>
          <w:bottom w:val="nil"/>
          <w:right w:val="nil"/>
          <w:between w:val="nil"/>
        </w:pBdr>
        <w:spacing w:after="0" w:line="240" w:lineRule="auto"/>
        <w:contextualSpacing/>
        <w:jc w:val="both"/>
        <w:rPr>
          <w:color w:val="000000"/>
        </w:rPr>
      </w:pPr>
      <w:r w:rsidRPr="009A56DA">
        <w:rPr>
          <w:color w:val="000000"/>
        </w:rPr>
        <w:t>Pregnant wom</w:t>
      </w:r>
      <w:r w:rsidRPr="009A56DA">
        <w:t>e</w:t>
      </w:r>
      <w:r w:rsidRPr="009A56DA">
        <w:rPr>
          <w:color w:val="000000"/>
        </w:rPr>
        <w:t>n resident in Viwandani and not intending to leave the study village in the next six months.</w:t>
      </w:r>
    </w:p>
    <w:p w14:paraId="55137498" w14:textId="13843309" w:rsidR="00AF3F53" w:rsidRPr="009A56DA" w:rsidRDefault="00E20048">
      <w:pPr>
        <w:numPr>
          <w:ilvl w:val="0"/>
          <w:numId w:val="11"/>
        </w:numPr>
        <w:pBdr>
          <w:top w:val="nil"/>
          <w:left w:val="nil"/>
          <w:bottom w:val="nil"/>
          <w:right w:val="nil"/>
          <w:between w:val="nil"/>
        </w:pBdr>
        <w:spacing w:after="120" w:line="240" w:lineRule="auto"/>
        <w:contextualSpacing/>
        <w:jc w:val="both"/>
        <w:rPr>
          <w:color w:val="000000"/>
        </w:rPr>
      </w:pPr>
      <w:r w:rsidRPr="009A56DA">
        <w:rPr>
          <w:color w:val="000000"/>
        </w:rPr>
        <w:t>Pregnant wom</w:t>
      </w:r>
      <w:r w:rsidRPr="009A56DA">
        <w:t>e</w:t>
      </w:r>
      <w:r w:rsidRPr="009A56DA">
        <w:rPr>
          <w:color w:val="000000"/>
        </w:rPr>
        <w:t>n willing to be enrolled and followed until two months after birth.</w:t>
      </w:r>
    </w:p>
    <w:p w14:paraId="666CE13B" w14:textId="77777777" w:rsidR="00AF3F53" w:rsidRPr="009A56DA" w:rsidRDefault="00E20048">
      <w:pPr>
        <w:pStyle w:val="Heading3"/>
        <w:rPr>
          <w:b/>
          <w:color w:val="000000"/>
        </w:rPr>
      </w:pPr>
      <w:bookmarkStart w:id="14" w:name="_lnxbz9" w:colFirst="0" w:colLast="0"/>
      <w:bookmarkEnd w:id="14"/>
      <w:r w:rsidRPr="009A56DA">
        <w:rPr>
          <w:b/>
          <w:color w:val="000000"/>
        </w:rPr>
        <w:t>Exclusion criteria</w:t>
      </w:r>
    </w:p>
    <w:p w14:paraId="7A09717E" w14:textId="51A6A4AE" w:rsidR="00AF3F53" w:rsidRPr="009A56DA" w:rsidRDefault="00E20048">
      <w:pPr>
        <w:numPr>
          <w:ilvl w:val="0"/>
          <w:numId w:val="1"/>
        </w:numPr>
        <w:pBdr>
          <w:top w:val="nil"/>
          <w:left w:val="nil"/>
          <w:bottom w:val="nil"/>
          <w:right w:val="nil"/>
          <w:between w:val="nil"/>
        </w:pBdr>
        <w:spacing w:after="0" w:line="264" w:lineRule="auto"/>
        <w:contextualSpacing/>
        <w:jc w:val="both"/>
        <w:rPr>
          <w:color w:val="000000"/>
        </w:rPr>
      </w:pPr>
      <w:r w:rsidRPr="009A56DA">
        <w:rPr>
          <w:color w:val="000000"/>
        </w:rPr>
        <w:t>Pregnant wom</w:t>
      </w:r>
      <w:r w:rsidRPr="009A56DA">
        <w:t>e</w:t>
      </w:r>
      <w:r w:rsidRPr="009A56DA">
        <w:rPr>
          <w:color w:val="000000"/>
        </w:rPr>
        <w:t>n with complications of pregnancy as documented by health workers.</w:t>
      </w:r>
    </w:p>
    <w:p w14:paraId="5753DF8A" w14:textId="5D20B17A" w:rsidR="00AF3F53" w:rsidRPr="009A56DA" w:rsidRDefault="00E20048">
      <w:pPr>
        <w:numPr>
          <w:ilvl w:val="0"/>
          <w:numId w:val="1"/>
        </w:numPr>
        <w:pBdr>
          <w:top w:val="nil"/>
          <w:left w:val="nil"/>
          <w:bottom w:val="nil"/>
          <w:right w:val="nil"/>
          <w:between w:val="nil"/>
        </w:pBdr>
        <w:spacing w:after="0" w:line="264" w:lineRule="auto"/>
        <w:contextualSpacing/>
        <w:jc w:val="both"/>
        <w:rPr>
          <w:color w:val="000000"/>
        </w:rPr>
      </w:pPr>
      <w:r w:rsidRPr="009A56DA">
        <w:rPr>
          <w:color w:val="000000"/>
        </w:rPr>
        <w:t xml:space="preserve">Pregnant </w:t>
      </w:r>
      <w:r w:rsidR="00504123" w:rsidRPr="009A56DA">
        <w:rPr>
          <w:color w:val="000000"/>
        </w:rPr>
        <w:t>wom</w:t>
      </w:r>
      <w:r w:rsidR="00504123" w:rsidRPr="009A56DA">
        <w:t>e</w:t>
      </w:r>
      <w:r w:rsidR="00504123" w:rsidRPr="009A56DA">
        <w:rPr>
          <w:color w:val="000000"/>
        </w:rPr>
        <w:t>n planning</w:t>
      </w:r>
      <w:r w:rsidRPr="009A56DA">
        <w:rPr>
          <w:color w:val="000000"/>
        </w:rPr>
        <w:t xml:space="preserve"> to vaccinate their baby outside Viwandani clinics.</w:t>
      </w:r>
    </w:p>
    <w:p w14:paraId="47B39935" w14:textId="77777777" w:rsidR="00AF3F53" w:rsidRPr="009A56DA" w:rsidRDefault="00E20048">
      <w:pPr>
        <w:numPr>
          <w:ilvl w:val="0"/>
          <w:numId w:val="1"/>
        </w:numPr>
        <w:pBdr>
          <w:top w:val="nil"/>
          <w:left w:val="nil"/>
          <w:bottom w:val="nil"/>
          <w:right w:val="nil"/>
          <w:between w:val="nil"/>
        </w:pBdr>
        <w:spacing w:after="0" w:line="264" w:lineRule="auto"/>
        <w:contextualSpacing/>
        <w:jc w:val="both"/>
        <w:rPr>
          <w:color w:val="000000"/>
        </w:rPr>
      </w:pPr>
      <w:r w:rsidRPr="009A56DA">
        <w:rPr>
          <w:color w:val="000000"/>
        </w:rPr>
        <w:t>Women with adverse pregnancy outcome during follow up (abortion, stillbirth, and early neonatal death).</w:t>
      </w:r>
    </w:p>
    <w:p w14:paraId="50096B8E" w14:textId="77777777" w:rsidR="00AF3F53" w:rsidRPr="009A56DA" w:rsidRDefault="00E20048">
      <w:pPr>
        <w:numPr>
          <w:ilvl w:val="0"/>
          <w:numId w:val="1"/>
        </w:numPr>
        <w:pBdr>
          <w:top w:val="nil"/>
          <w:left w:val="nil"/>
          <w:bottom w:val="nil"/>
          <w:right w:val="nil"/>
          <w:between w:val="nil"/>
        </w:pBdr>
        <w:spacing w:after="0" w:line="264" w:lineRule="auto"/>
        <w:contextualSpacing/>
        <w:jc w:val="both"/>
        <w:rPr>
          <w:color w:val="000000"/>
        </w:rPr>
      </w:pPr>
      <w:r w:rsidRPr="009A56DA">
        <w:rPr>
          <w:color w:val="000000"/>
        </w:rPr>
        <w:t>Women diagnosed with multiple pregnancies.</w:t>
      </w:r>
    </w:p>
    <w:p w14:paraId="2B2000FE" w14:textId="7B6C766D" w:rsidR="00AF3F53" w:rsidRPr="009A56DA" w:rsidRDefault="00687A72">
      <w:pPr>
        <w:spacing w:before="120" w:line="240" w:lineRule="auto"/>
        <w:rPr>
          <w:b/>
          <w:sz w:val="24"/>
          <w:szCs w:val="24"/>
        </w:rPr>
      </w:pPr>
      <w:r w:rsidRPr="009A56DA">
        <w:rPr>
          <w:b/>
          <w:sz w:val="24"/>
          <w:szCs w:val="24"/>
        </w:rPr>
        <w:br/>
      </w:r>
      <w:r w:rsidR="00E20048" w:rsidRPr="009A56DA">
        <w:rPr>
          <w:b/>
          <w:sz w:val="24"/>
          <w:szCs w:val="24"/>
        </w:rPr>
        <w:t>Sample size and Sampling</w:t>
      </w:r>
    </w:p>
    <w:p w14:paraId="05D2CB19" w14:textId="1FE3DDE6" w:rsidR="00AF3F53" w:rsidRPr="009A56DA" w:rsidRDefault="00E20048">
      <w:pPr>
        <w:jc w:val="both"/>
      </w:pPr>
      <w:r w:rsidRPr="009A56DA">
        <w:t xml:space="preserve">Our sample size estimates are done following Hooper et al. [38]. First, a recent study on vaccination in the slums suggested that the percentage of timely vaccination is 22% [10]. We hypothesize that the intervention will increase that percentage of timely vaccination to 45% (significant difference of 23%), implying an effect size of 0.5. Based on the study by Russo et al. [39] on the vaccine coverage in Cameroon, we assume an intra-cluster correlation (similarity of outcomes from individuals within a cluster at the same time point) of 0.04. Furthermore, we assume a cluster autocorrelation (similarity of outcomes from individuals within a cluster taken at different times) of 0.8. We also assume a cluster size of 12 neonates specified in advance, three steps and four time points (one baseline and three follow-up time points) are expected during recruitment and follow up. We further conjecture a confidence interval of 95%, a margin-of-error of 5% and a power of 80%. Based on these assumptions, the sample size required will be 383 neonates and 8 clusters (villages). If we assume a dropout rate to be 20%, our final sample size is 479 neonates. </w:t>
      </w:r>
    </w:p>
    <w:p w14:paraId="02C621C1" w14:textId="77777777" w:rsidR="00AF3F53" w:rsidRPr="009A56DA" w:rsidRDefault="00E20048">
      <w:pPr>
        <w:spacing w:before="120" w:line="240" w:lineRule="auto"/>
        <w:jc w:val="both"/>
      </w:pPr>
      <w:r w:rsidRPr="009A56DA">
        <w:t>Twelve neonates will be consecutively selected in each cluster. In other words, during the time of the study CHVs will consecutively enroll the neonates in each cluster until the targeted number is reached. At each step a new cohort will be recruited and followed-up till 2 months after birth. At each step our primary outcomes will be measured.</w:t>
      </w:r>
    </w:p>
    <w:p w14:paraId="060987EA" w14:textId="77777777" w:rsidR="00AF3F53" w:rsidRPr="009A56DA" w:rsidRDefault="00AF3F53">
      <w:pPr>
        <w:spacing w:before="120" w:line="240" w:lineRule="auto"/>
        <w:jc w:val="both"/>
      </w:pPr>
    </w:p>
    <w:p w14:paraId="36AFC239" w14:textId="77777777" w:rsidR="00AF3F53" w:rsidRPr="009A56DA" w:rsidRDefault="00E20048">
      <w:pPr>
        <w:pStyle w:val="Heading1"/>
        <w:rPr>
          <w:b/>
          <w:color w:val="000000"/>
          <w:sz w:val="28"/>
          <w:szCs w:val="28"/>
        </w:rPr>
      </w:pPr>
      <w:bookmarkStart w:id="15" w:name="_35nkun2" w:colFirst="0" w:colLast="0"/>
      <w:bookmarkEnd w:id="15"/>
      <w:r w:rsidRPr="009A56DA">
        <w:rPr>
          <w:b/>
          <w:color w:val="000000"/>
          <w:sz w:val="28"/>
          <w:szCs w:val="28"/>
        </w:rPr>
        <w:lastRenderedPageBreak/>
        <w:t>VIII. Data Collection</w:t>
      </w:r>
    </w:p>
    <w:p w14:paraId="0FBAE79B" w14:textId="77777777" w:rsidR="00AF3F53" w:rsidRPr="009A56DA" w:rsidRDefault="00E20048">
      <w:pPr>
        <w:numPr>
          <w:ilvl w:val="0"/>
          <w:numId w:val="5"/>
        </w:numPr>
        <w:pBdr>
          <w:top w:val="nil"/>
          <w:left w:val="nil"/>
          <w:bottom w:val="nil"/>
          <w:right w:val="nil"/>
          <w:between w:val="nil"/>
        </w:pBdr>
        <w:spacing w:after="0" w:line="240" w:lineRule="auto"/>
        <w:contextualSpacing/>
        <w:jc w:val="both"/>
        <w:rPr>
          <w:b/>
          <w:color w:val="000000"/>
          <w:sz w:val="24"/>
          <w:szCs w:val="24"/>
        </w:rPr>
      </w:pPr>
      <w:r w:rsidRPr="009A56DA">
        <w:rPr>
          <w:b/>
          <w:color w:val="000000"/>
          <w:sz w:val="24"/>
          <w:szCs w:val="24"/>
        </w:rPr>
        <w:t>Procedures</w:t>
      </w:r>
    </w:p>
    <w:p w14:paraId="1053E6E0" w14:textId="03C49215" w:rsidR="00AF3F53" w:rsidRPr="009A56DA" w:rsidRDefault="00E20048">
      <w:pPr>
        <w:spacing w:after="0" w:line="240" w:lineRule="auto"/>
        <w:jc w:val="both"/>
        <w:rPr>
          <w:b/>
          <w:sz w:val="24"/>
          <w:szCs w:val="24"/>
        </w:rPr>
      </w:pPr>
      <w:r w:rsidRPr="009A56DA">
        <w:rPr>
          <w:b/>
          <w:sz w:val="24"/>
          <w:szCs w:val="24"/>
        </w:rPr>
        <w:t>Interviews</w:t>
      </w:r>
    </w:p>
    <w:p w14:paraId="7DCCD060" w14:textId="1207386C" w:rsidR="00AF3F53" w:rsidRPr="009A56DA" w:rsidRDefault="00E20048">
      <w:pPr>
        <w:spacing w:after="0" w:line="240" w:lineRule="auto"/>
        <w:jc w:val="both"/>
      </w:pPr>
      <w:r w:rsidRPr="009A56DA">
        <w:rPr>
          <w:sz w:val="24"/>
          <w:szCs w:val="24"/>
        </w:rPr>
        <w:t xml:space="preserve">Mothers </w:t>
      </w:r>
      <w:r w:rsidRPr="009A56DA">
        <w:t>with infants between 0- and 4-weeks will be interviewed in the eight villages to determine the baseline (month 0) timeliness of vaccination for BCG and OPV. Data collection will be repeated at each point where a new set of villages receives the intervention. The interviews will be conducted by a field worker either within households or at the healthcare facility. These interviews will be repeated at the enrolment of new mothers every two months.</w:t>
      </w:r>
      <w:r w:rsidRPr="009A56DA">
        <w:rPr>
          <w:b/>
          <w:sz w:val="24"/>
          <w:szCs w:val="24"/>
        </w:rPr>
        <w:t xml:space="preserve"> </w:t>
      </w:r>
      <w:r w:rsidRPr="009A56DA">
        <w:t>ODK</w:t>
      </w:r>
      <w:r w:rsidR="001D4528" w:rsidRPr="009A56DA">
        <w:t xml:space="preserve"> (Open Data Kit)</w:t>
      </w:r>
      <w:r w:rsidRPr="009A56DA">
        <w:t xml:space="preserve"> Collect software on a simple smartphone will be used for the interviews.</w:t>
      </w:r>
      <w:r w:rsidRPr="009A56DA">
        <w:rPr>
          <w:b/>
          <w:sz w:val="24"/>
          <w:szCs w:val="24"/>
        </w:rPr>
        <w:t xml:space="preserve"> </w:t>
      </w:r>
      <w:r w:rsidRPr="009A56DA">
        <w:rPr>
          <w:sz w:val="24"/>
          <w:szCs w:val="24"/>
        </w:rPr>
        <w:t>Data on</w:t>
      </w:r>
      <w:r w:rsidRPr="009A56DA">
        <w:rPr>
          <w:b/>
          <w:sz w:val="24"/>
          <w:szCs w:val="24"/>
        </w:rPr>
        <w:t xml:space="preserve"> </w:t>
      </w:r>
      <w:r w:rsidRPr="009A56DA">
        <w:t xml:space="preserve">mobile phone ownership, literacy, demographics, vaccine perceptions, transportation, and socioeconomic status and the child’s immunization record and other immunization-related costs will be collected at enrollment. </w:t>
      </w:r>
      <w:r w:rsidR="009A3578" w:rsidRPr="009A56DA">
        <w:t xml:space="preserve">See Appendix 2A for the detailed questionnaire.  </w:t>
      </w:r>
    </w:p>
    <w:p w14:paraId="3562EB23" w14:textId="77777777" w:rsidR="00AF3F53" w:rsidRPr="009A56DA" w:rsidRDefault="00AF3F53">
      <w:pPr>
        <w:spacing w:after="0" w:line="240" w:lineRule="auto"/>
        <w:jc w:val="both"/>
        <w:rPr>
          <w:b/>
          <w:sz w:val="24"/>
          <w:szCs w:val="24"/>
        </w:rPr>
      </w:pPr>
    </w:p>
    <w:p w14:paraId="2EE365B9" w14:textId="77777777" w:rsidR="00AF3F53" w:rsidRPr="009A56DA" w:rsidRDefault="00E20048">
      <w:pPr>
        <w:spacing w:after="0" w:line="240" w:lineRule="auto"/>
        <w:jc w:val="both"/>
        <w:rPr>
          <w:b/>
          <w:sz w:val="24"/>
          <w:szCs w:val="24"/>
        </w:rPr>
      </w:pPr>
      <w:r w:rsidRPr="009A56DA">
        <w:rPr>
          <w:b/>
          <w:sz w:val="24"/>
          <w:szCs w:val="24"/>
        </w:rPr>
        <w:t>The intervention</w:t>
      </w:r>
    </w:p>
    <w:p w14:paraId="64C23309" w14:textId="5E43833D" w:rsidR="00AF3F53" w:rsidRPr="009A56DA" w:rsidRDefault="00E20048">
      <w:pPr>
        <w:spacing w:after="0" w:line="240" w:lineRule="auto"/>
        <w:jc w:val="both"/>
        <w:rPr>
          <w:b/>
          <w:sz w:val="24"/>
          <w:szCs w:val="24"/>
        </w:rPr>
      </w:pPr>
      <w:r w:rsidRPr="009A56DA">
        <w:t>One CHV</w:t>
      </w:r>
      <w:r w:rsidR="001D4528" w:rsidRPr="009A56DA">
        <w:t xml:space="preserve"> will be selected from each</w:t>
      </w:r>
      <w:r w:rsidRPr="009A56DA">
        <w:t xml:space="preserve">  village</w:t>
      </w:r>
      <w:r w:rsidR="001D4528" w:rsidRPr="009A56DA">
        <w:t xml:space="preserve"> and</w:t>
      </w:r>
      <w:r w:rsidRPr="009A56DA">
        <w:t xml:space="preserve"> will be trained to register pregnancies in their second or third trimester using a mobile phone. Demographic variables of women, age of gestation, expected date of birth and the preferred health facility and village of residence will be documented and this information will be relayed </w:t>
      </w:r>
      <w:r w:rsidR="00DB50AC" w:rsidRPr="009A56DA">
        <w:t xml:space="preserve">first to a central database. </w:t>
      </w:r>
      <w:r w:rsidRPr="009A56DA">
        <w:t xml:space="preserve">This will trigger an automated reminder to the CHV </w:t>
      </w:r>
      <w:r w:rsidR="00DB50AC" w:rsidRPr="009A56DA">
        <w:t xml:space="preserve">about </w:t>
      </w:r>
      <w:r w:rsidRPr="009A56DA">
        <w:t>when the woman is due to deliver. At delivery, the CHV will document the date of delivery of the child and submit to the central database. Standardized health messages on vaccination will</w:t>
      </w:r>
      <w:r w:rsidR="00DB50AC" w:rsidRPr="009A56DA">
        <w:t xml:space="preserve"> also</w:t>
      </w:r>
      <w:r w:rsidRPr="009A56DA">
        <w:t xml:space="preserve"> be automated from the central server and sent to the mother’s phone. At the vaccination point immunization status is updated by the CHV or the Health facility</w:t>
      </w:r>
      <w:r w:rsidR="00DB50AC" w:rsidRPr="009A56DA">
        <w:t xml:space="preserve"> and relayed to the central server from which </w:t>
      </w:r>
      <w:r w:rsidRPr="009A56DA">
        <w:t xml:space="preserve"> a list of unvaccinated children due for vaccination is generated. The CHV and Health facility</w:t>
      </w:r>
      <w:r w:rsidR="00DB50AC" w:rsidRPr="009A56DA">
        <w:t xml:space="preserve"> will</w:t>
      </w:r>
      <w:r w:rsidRPr="009A56DA">
        <w:t xml:space="preserve"> </w:t>
      </w:r>
      <w:r w:rsidR="00504123" w:rsidRPr="009A56DA">
        <w:t>receive</w:t>
      </w:r>
      <w:r w:rsidRPr="009A56DA">
        <w:t xml:space="preserve"> fortnight</w:t>
      </w:r>
      <w:r w:rsidR="00DB50AC" w:rsidRPr="009A56DA">
        <w:t>ly</w:t>
      </w:r>
      <w:r w:rsidRPr="009A56DA">
        <w:t xml:space="preserve"> report</w:t>
      </w:r>
      <w:r w:rsidR="00DB50AC" w:rsidRPr="009A56DA">
        <w:t>s</w:t>
      </w:r>
      <w:r w:rsidRPr="009A56DA">
        <w:t xml:space="preserve"> with the </w:t>
      </w:r>
      <w:r w:rsidR="00504123" w:rsidRPr="009A56DA">
        <w:t>baby’s</w:t>
      </w:r>
      <w:r w:rsidRPr="009A56DA">
        <w:t xml:space="preserve"> due for vaccination so that the health facility can plan </w:t>
      </w:r>
      <w:r w:rsidR="00DB50AC" w:rsidRPr="009A56DA">
        <w:t>vaccination services appropriately</w:t>
      </w:r>
      <w:r w:rsidRPr="009A56DA">
        <w:t xml:space="preserve"> .</w:t>
      </w:r>
    </w:p>
    <w:p w14:paraId="092CCF64" w14:textId="77777777" w:rsidR="00AF3F53" w:rsidRPr="009A56DA" w:rsidRDefault="00AF3F53">
      <w:pPr>
        <w:spacing w:after="0" w:line="240" w:lineRule="auto"/>
        <w:jc w:val="both"/>
        <w:rPr>
          <w:b/>
          <w:sz w:val="24"/>
          <w:szCs w:val="24"/>
        </w:rPr>
      </w:pPr>
    </w:p>
    <w:p w14:paraId="171CF11E" w14:textId="77777777" w:rsidR="00AF3F53" w:rsidRPr="009A56DA" w:rsidRDefault="00E20048">
      <w:pPr>
        <w:pBdr>
          <w:top w:val="nil"/>
          <w:left w:val="nil"/>
          <w:bottom w:val="nil"/>
          <w:right w:val="nil"/>
          <w:between w:val="nil"/>
        </w:pBdr>
        <w:spacing w:before="120" w:after="0" w:line="240" w:lineRule="auto"/>
        <w:jc w:val="both"/>
        <w:rPr>
          <w:b/>
          <w:color w:val="000000"/>
        </w:rPr>
      </w:pPr>
      <w:r w:rsidRPr="009A56DA">
        <w:rPr>
          <w:b/>
          <w:color w:val="000000"/>
        </w:rPr>
        <w:t xml:space="preserve">Training of field staff, community health volunteers and Health workers </w:t>
      </w:r>
    </w:p>
    <w:p w14:paraId="4C5AD1CE" w14:textId="11E9FE8D" w:rsidR="00AF3F53" w:rsidRPr="009A56DA" w:rsidRDefault="00E20048">
      <w:pPr>
        <w:widowControl w:val="0"/>
        <w:spacing w:after="200" w:line="240" w:lineRule="auto"/>
        <w:jc w:val="both"/>
      </w:pPr>
      <w:r w:rsidRPr="009A56DA">
        <w:t xml:space="preserve">Data will be collected mainly by community health volunteers and health facility staff. Interviews with mothers on timeliness of vaccination and other associated variables will be conducted at baseline and during follow-up by trained data collectors. All data collectors will be carefully trained in line with APHRC’s standards. </w:t>
      </w:r>
    </w:p>
    <w:p w14:paraId="532FB7BB" w14:textId="77777777" w:rsidR="00AF3F53" w:rsidRPr="009A56DA" w:rsidRDefault="00E20048">
      <w:pPr>
        <w:widowControl w:val="0"/>
        <w:spacing w:after="200" w:line="240" w:lineRule="auto"/>
        <w:jc w:val="both"/>
      </w:pPr>
      <w:r w:rsidRPr="009A56DA">
        <w:t>During recruitment, all data collectors will be expected to be fluent in both English and Swahili, which are the most commonly used languages in Nairobi and preference will be given to residents in the study area.</w:t>
      </w:r>
    </w:p>
    <w:p w14:paraId="68A8705A" w14:textId="4E19E2DB" w:rsidR="00AF3F53" w:rsidRPr="009A56DA" w:rsidRDefault="00E20048">
      <w:pPr>
        <w:widowControl w:val="0"/>
        <w:spacing w:after="200" w:line="240" w:lineRule="auto"/>
        <w:jc w:val="both"/>
      </w:pPr>
      <w:r w:rsidRPr="009A56DA">
        <w:t xml:space="preserve">A training on ethical issues, data collection procedures will be conducted and this training will be based on both information and problem-solving techniques. </w:t>
      </w:r>
    </w:p>
    <w:p w14:paraId="55BDA560" w14:textId="77777777" w:rsidR="00687A72" w:rsidRPr="009A56DA" w:rsidRDefault="00687A72">
      <w:pPr>
        <w:rPr>
          <w:b/>
          <w:color w:val="000000"/>
          <w:sz w:val="24"/>
          <w:szCs w:val="24"/>
        </w:rPr>
      </w:pPr>
      <w:bookmarkStart w:id="16" w:name="_1ksv4uv" w:colFirst="0" w:colLast="0"/>
      <w:bookmarkEnd w:id="16"/>
      <w:r w:rsidRPr="009A56DA">
        <w:rPr>
          <w:b/>
          <w:color w:val="000000"/>
          <w:sz w:val="24"/>
          <w:szCs w:val="24"/>
        </w:rPr>
        <w:br w:type="page"/>
      </w:r>
    </w:p>
    <w:p w14:paraId="20EB0A5C" w14:textId="0B083A9F" w:rsidR="00AF3F53" w:rsidRPr="009A56DA" w:rsidRDefault="00E20048">
      <w:pPr>
        <w:tabs>
          <w:tab w:val="left" w:pos="360"/>
        </w:tabs>
        <w:spacing w:before="240" w:line="240" w:lineRule="auto"/>
        <w:jc w:val="both"/>
        <w:rPr>
          <w:b/>
          <w:color w:val="000000"/>
          <w:sz w:val="24"/>
          <w:szCs w:val="24"/>
        </w:rPr>
      </w:pPr>
      <w:r w:rsidRPr="009A56DA">
        <w:rPr>
          <w:b/>
          <w:color w:val="000000"/>
          <w:sz w:val="24"/>
          <w:szCs w:val="24"/>
        </w:rPr>
        <w:lastRenderedPageBreak/>
        <w:t>b) Ethical considerations</w:t>
      </w:r>
    </w:p>
    <w:p w14:paraId="73F920D8" w14:textId="4EC02609" w:rsidR="00AF3F53" w:rsidRPr="009A56DA" w:rsidRDefault="00E20048">
      <w:pPr>
        <w:widowControl w:val="0"/>
        <w:spacing w:after="0" w:line="240" w:lineRule="auto"/>
        <w:jc w:val="both"/>
      </w:pPr>
      <w:r w:rsidRPr="009A56DA">
        <w:t>The objectives of this study can only be achieved with the involvement of human participants as part of primary data collection (interviews with pregnant women, registration of pregnancies, reviewing vaccination records). Since the primary data collection will involve human subjects, we will observe the ethical principles of ju</w:t>
      </w:r>
      <w:r w:rsidR="002866B7" w:rsidRPr="009A56DA">
        <w:t xml:space="preserve">stice, beneficence and respect. Although pregnant women are a vulnerable group in this study, the study poses no more than minimal risk to the participants as there is no investigator product testing, however, we will ensure that confidentiality of study participants is maintained through anonymization of personal identifiers. </w:t>
      </w:r>
      <w:r w:rsidRPr="009A56DA">
        <w:t xml:space="preserve">We will also seek ethical clearance from the Africa Medical Research Foundation - Ethical and Scientific Review Committee (AMREF - ESRC). </w:t>
      </w:r>
    </w:p>
    <w:p w14:paraId="376DEBDD" w14:textId="77777777" w:rsidR="00AF3F53" w:rsidRPr="009A56DA" w:rsidRDefault="00E20048">
      <w:pPr>
        <w:widowControl w:val="0"/>
        <w:spacing w:before="100" w:after="100" w:line="240" w:lineRule="auto"/>
        <w:rPr>
          <w:i/>
          <w:u w:val="single"/>
        </w:rPr>
      </w:pPr>
      <w:bookmarkStart w:id="17" w:name="_44sinio" w:colFirst="0" w:colLast="0"/>
      <w:bookmarkEnd w:id="17"/>
      <w:r w:rsidRPr="009A56DA">
        <w:rPr>
          <w:i/>
          <w:u w:val="single"/>
        </w:rPr>
        <w:t xml:space="preserve">Informed consent </w:t>
      </w:r>
    </w:p>
    <w:p w14:paraId="0EFE5E9F" w14:textId="3C800B26" w:rsidR="00AF3F53" w:rsidRPr="009A56DA" w:rsidRDefault="00E20048">
      <w:pPr>
        <w:widowControl w:val="0"/>
        <w:spacing w:after="0" w:line="240" w:lineRule="auto"/>
        <w:jc w:val="both"/>
      </w:pPr>
      <w:r w:rsidRPr="009A56DA">
        <w:t>Participants will be given a verbal explanation about the study by trained CHVs and a verbal consent will be obtained and documented</w:t>
      </w:r>
      <w:r w:rsidR="002866B7" w:rsidRPr="009A56DA">
        <w:t xml:space="preserve"> for the registration by CHVs. But for the interviews that will be conducted by trained field workers an informed written consent will be obtained. For participants who are illiterate a witness will attest that they have read the study information as is written. </w:t>
      </w:r>
    </w:p>
    <w:p w14:paraId="4F80AB5D" w14:textId="77777777" w:rsidR="00AF3F53" w:rsidRPr="009A56DA" w:rsidRDefault="00E20048">
      <w:pPr>
        <w:widowControl w:val="0"/>
        <w:spacing w:before="100" w:after="100" w:line="240" w:lineRule="auto"/>
        <w:rPr>
          <w:i/>
          <w:u w:val="single"/>
        </w:rPr>
      </w:pPr>
      <w:bookmarkStart w:id="18" w:name="_2jxsxqh" w:colFirst="0" w:colLast="0"/>
      <w:bookmarkEnd w:id="18"/>
      <w:r w:rsidRPr="009A56DA">
        <w:rPr>
          <w:i/>
          <w:u w:val="single"/>
        </w:rPr>
        <w:t>Voluntary Participation.</w:t>
      </w:r>
    </w:p>
    <w:p w14:paraId="163AF211" w14:textId="77777777" w:rsidR="00AF3F53" w:rsidRPr="009A56DA" w:rsidRDefault="00E20048">
      <w:pPr>
        <w:widowControl w:val="0"/>
        <w:spacing w:after="0" w:line="240" w:lineRule="auto"/>
        <w:jc w:val="both"/>
      </w:pPr>
      <w:r w:rsidRPr="009A56DA">
        <w:t xml:space="preserve">It will be made clear to participants from the onset that participation in the study is voluntary and that they may choose to withdraw from the study or decline to respond to any question that they may feel uncomfortable answering at any time and for whatever reasons without fear of penalty. An individual would therefore be removed from the study if she expresses the desire to do so. </w:t>
      </w:r>
    </w:p>
    <w:p w14:paraId="6E654380" w14:textId="77777777" w:rsidR="00AF3F53" w:rsidRPr="009A56DA" w:rsidRDefault="00E20048">
      <w:pPr>
        <w:widowControl w:val="0"/>
        <w:spacing w:before="100" w:after="100" w:line="240" w:lineRule="auto"/>
        <w:rPr>
          <w:i/>
          <w:u w:val="single"/>
        </w:rPr>
      </w:pPr>
      <w:bookmarkStart w:id="19" w:name="_z337ya" w:colFirst="0" w:colLast="0"/>
      <w:bookmarkEnd w:id="19"/>
      <w:r w:rsidRPr="009A56DA">
        <w:rPr>
          <w:i/>
          <w:u w:val="single"/>
        </w:rPr>
        <w:t xml:space="preserve">Confidentiality </w:t>
      </w:r>
    </w:p>
    <w:p w14:paraId="3DDB70B9" w14:textId="2608403A" w:rsidR="00AF3F53" w:rsidRPr="009A56DA" w:rsidRDefault="00E20048">
      <w:pPr>
        <w:widowControl w:val="0"/>
        <w:spacing w:after="0" w:line="240" w:lineRule="auto"/>
        <w:jc w:val="both"/>
      </w:pPr>
      <w:r w:rsidRPr="009A56DA">
        <w:t xml:space="preserve">Participants will be notified that their data are confidential. Information (names or addresses) of respondents and facilities will be retained in the electronic version of the data. The </w:t>
      </w:r>
      <w:r w:rsidR="00504123" w:rsidRPr="009A56DA">
        <w:t>centralized</w:t>
      </w:r>
      <w:r w:rsidRPr="009A56DA">
        <w:t xml:space="preserve"> data is secured using stringent privacy and security standard based on industry best practices. Strong administrative role based control over configuration, application settings, streamlined authentication, asset protection and operation control is put in place.  The data provided by respondents will be used for research purposes only and we will not present results that in any way will permit identification of the respondents or facilities. All staff will also receive training on the ethical treatment of human subjects and confidentiality. </w:t>
      </w:r>
    </w:p>
    <w:p w14:paraId="2680405A" w14:textId="77777777" w:rsidR="00AF3F53" w:rsidRPr="009A56DA" w:rsidRDefault="00E20048">
      <w:pPr>
        <w:widowControl w:val="0"/>
        <w:spacing w:before="100" w:after="100" w:line="240" w:lineRule="auto"/>
        <w:rPr>
          <w:i/>
          <w:u w:val="single"/>
        </w:rPr>
      </w:pPr>
      <w:bookmarkStart w:id="20" w:name="_3j2qqm3" w:colFirst="0" w:colLast="0"/>
      <w:bookmarkEnd w:id="20"/>
      <w:r w:rsidRPr="009A56DA">
        <w:rPr>
          <w:i/>
          <w:u w:val="single"/>
        </w:rPr>
        <w:t>Risk benefit assessment</w:t>
      </w:r>
    </w:p>
    <w:p w14:paraId="213179B0" w14:textId="77777777" w:rsidR="00AF3F53" w:rsidRPr="009A56DA" w:rsidRDefault="00E20048">
      <w:pPr>
        <w:widowControl w:val="0"/>
        <w:spacing w:after="0" w:line="240" w:lineRule="auto"/>
        <w:jc w:val="both"/>
      </w:pPr>
      <w:r w:rsidRPr="009A56DA">
        <w:t xml:space="preserve">Since this study does not involve testing a new investigational product, the risks of undertaking this research are minimal. However, there could be risks related to the electronic data collected being made publicly available. To minimize these risks, information with participants’ identifiers (such as names) will be hidden in the database except when needed for tracking purposes. Instead, unique identifiers will be used to identify participants. </w:t>
      </w:r>
    </w:p>
    <w:p w14:paraId="0216293C" w14:textId="77777777" w:rsidR="00AF3F53" w:rsidRPr="009A56DA" w:rsidRDefault="00AF3F53">
      <w:pPr>
        <w:widowControl w:val="0"/>
        <w:spacing w:after="0" w:line="240" w:lineRule="auto"/>
        <w:jc w:val="both"/>
      </w:pPr>
    </w:p>
    <w:p w14:paraId="2738A389" w14:textId="77777777" w:rsidR="00AF3F53" w:rsidRPr="009A56DA" w:rsidRDefault="00E20048">
      <w:pPr>
        <w:widowControl w:val="0"/>
        <w:spacing w:after="0" w:line="240" w:lineRule="auto"/>
        <w:jc w:val="both"/>
      </w:pPr>
      <w:r w:rsidRPr="009A56DA">
        <w:t>Anything discussed during individual interviews will remain private and confidential. The respondents will not get any direct benefit for participating in the study but the health information they receive through text messages will be helpful especially regarding access to vaccination services. In the long run, the findings from the study will be useful in informing policy and interventions that would benefit their wider community and the general population.</w:t>
      </w:r>
    </w:p>
    <w:p w14:paraId="42E69637" w14:textId="77777777" w:rsidR="00AF3F53" w:rsidRPr="009A56DA" w:rsidRDefault="00E20048">
      <w:pPr>
        <w:widowControl w:val="0"/>
        <w:spacing w:before="100" w:after="100" w:line="240" w:lineRule="auto"/>
        <w:rPr>
          <w:i/>
          <w:u w:val="single"/>
        </w:rPr>
      </w:pPr>
      <w:bookmarkStart w:id="21" w:name="_1y810tw" w:colFirst="0" w:colLast="0"/>
      <w:bookmarkEnd w:id="21"/>
      <w:r w:rsidRPr="009A56DA">
        <w:rPr>
          <w:i/>
          <w:u w:val="single"/>
        </w:rPr>
        <w:t>Compensation</w:t>
      </w:r>
    </w:p>
    <w:p w14:paraId="231D857D" w14:textId="77777777" w:rsidR="00AF3F53" w:rsidRPr="009A56DA" w:rsidRDefault="00E20048">
      <w:pPr>
        <w:widowControl w:val="0"/>
        <w:spacing w:after="200" w:line="276" w:lineRule="auto"/>
      </w:pPr>
      <w:r w:rsidRPr="009A56DA">
        <w:t xml:space="preserve">No compensation will be provided for participation in this study since the study is nested within routine maternal and child health services. </w:t>
      </w:r>
    </w:p>
    <w:p w14:paraId="3E96C728" w14:textId="77777777" w:rsidR="00AF3F53" w:rsidRPr="009A56DA" w:rsidRDefault="00E20048">
      <w:pPr>
        <w:pStyle w:val="Heading1"/>
        <w:rPr>
          <w:b/>
          <w:color w:val="000000"/>
          <w:sz w:val="28"/>
          <w:szCs w:val="28"/>
        </w:rPr>
      </w:pPr>
      <w:bookmarkStart w:id="22" w:name="_4i7ojhp" w:colFirst="0" w:colLast="0"/>
      <w:bookmarkEnd w:id="22"/>
      <w:r w:rsidRPr="009A56DA">
        <w:rPr>
          <w:b/>
          <w:color w:val="000000"/>
          <w:sz w:val="28"/>
          <w:szCs w:val="28"/>
        </w:rPr>
        <w:lastRenderedPageBreak/>
        <w:t>IX. Data Processing and Analysis</w:t>
      </w:r>
    </w:p>
    <w:p w14:paraId="39630C98" w14:textId="77777777" w:rsidR="00AF3F53" w:rsidRPr="009A56DA" w:rsidRDefault="00E20048">
      <w:pPr>
        <w:numPr>
          <w:ilvl w:val="0"/>
          <w:numId w:val="2"/>
        </w:numPr>
        <w:pBdr>
          <w:top w:val="nil"/>
          <w:left w:val="nil"/>
          <w:bottom w:val="nil"/>
          <w:right w:val="nil"/>
          <w:between w:val="nil"/>
        </w:pBdr>
        <w:spacing w:after="0" w:line="240" w:lineRule="auto"/>
        <w:contextualSpacing/>
        <w:rPr>
          <w:b/>
          <w:color w:val="000000"/>
          <w:sz w:val="24"/>
          <w:szCs w:val="24"/>
        </w:rPr>
      </w:pPr>
      <w:bookmarkStart w:id="23" w:name="_2xcytpi" w:colFirst="0" w:colLast="0"/>
      <w:bookmarkEnd w:id="23"/>
      <w:r w:rsidRPr="009A56DA">
        <w:rPr>
          <w:b/>
          <w:color w:val="000000"/>
          <w:sz w:val="24"/>
          <w:szCs w:val="24"/>
        </w:rPr>
        <w:t xml:space="preserve"> Data management, storage and sharing</w:t>
      </w:r>
    </w:p>
    <w:p w14:paraId="20CB8947" w14:textId="1E000F18" w:rsidR="00B530E6" w:rsidRPr="009A56DA" w:rsidRDefault="00B530E6" w:rsidP="00B530E6">
      <w:pPr>
        <w:spacing w:before="120" w:after="0" w:line="240" w:lineRule="auto"/>
        <w:jc w:val="both"/>
        <w:rPr>
          <w:i/>
        </w:rPr>
      </w:pPr>
      <w:r w:rsidRPr="009A56DA">
        <w:rPr>
          <w:i/>
        </w:rPr>
        <w:t>The questionnaire data</w:t>
      </w:r>
    </w:p>
    <w:p w14:paraId="3B5E3020" w14:textId="325E3859" w:rsidR="00B530E6" w:rsidRPr="009A56DA" w:rsidRDefault="00B530E6" w:rsidP="00B530E6">
      <w:pPr>
        <w:spacing w:before="120" w:after="0" w:line="240" w:lineRule="auto"/>
        <w:jc w:val="both"/>
      </w:pPr>
      <w:r w:rsidRPr="009A56DA">
        <w:t xml:space="preserve">The Data Manager will upload the interview data collected from each tablet into an interim data management database and will carry out regular quality control checks on the study database. The SOP for doing this will be developed in relation to the study questionnaires before the start of the study. The Research Officer will undertake quality controls to ensure that relevant data queries are resolved and will work in close cooperation with the data Manager to ensure data are stored and archived appropriately. The data management team will be trained on handling data. </w:t>
      </w:r>
    </w:p>
    <w:p w14:paraId="27691278" w14:textId="32AA0202" w:rsidR="00B530E6" w:rsidRPr="009A56DA" w:rsidRDefault="00B530E6" w:rsidP="00B530E6">
      <w:pPr>
        <w:spacing w:before="120" w:after="0" w:line="240" w:lineRule="auto"/>
        <w:jc w:val="both"/>
      </w:pPr>
      <w:r w:rsidRPr="009A56DA">
        <w:t>When the queries have been resolved, the data Manager will then upload the cleaned data into the master study database. The master study database will be backed up onto a secure location using a server. In addition the data manager will maintain a password-protected copy of the database on his/her computer and on an external hard drive. A detailed data dictionary will be prepared to help with curation of the data.</w:t>
      </w:r>
    </w:p>
    <w:p w14:paraId="6480B411" w14:textId="77777777" w:rsidR="00B530E6" w:rsidRPr="009A56DA" w:rsidRDefault="00B530E6">
      <w:pPr>
        <w:spacing w:before="120" w:after="0" w:line="240" w:lineRule="auto"/>
        <w:jc w:val="both"/>
      </w:pPr>
    </w:p>
    <w:p w14:paraId="3888D448" w14:textId="16588CAD" w:rsidR="00B530E6" w:rsidRPr="009A56DA" w:rsidRDefault="00B530E6">
      <w:pPr>
        <w:spacing w:before="120" w:after="0" w:line="240" w:lineRule="auto"/>
        <w:jc w:val="both"/>
        <w:rPr>
          <w:i/>
        </w:rPr>
      </w:pPr>
      <w:r w:rsidRPr="009A56DA">
        <w:rPr>
          <w:i/>
        </w:rPr>
        <w:t>The electronic pregnancy and immunization registry</w:t>
      </w:r>
    </w:p>
    <w:p w14:paraId="01DFA816" w14:textId="511E5E8C" w:rsidR="00AF3F53" w:rsidRPr="009A56DA" w:rsidRDefault="00E20048">
      <w:pPr>
        <w:spacing w:before="120" w:after="0" w:line="240" w:lineRule="auto"/>
        <w:jc w:val="both"/>
      </w:pPr>
      <w:r w:rsidRPr="009A56DA">
        <w:t>The digital platform accessed by the CHV and the Health facility from their smart devices will directly be submitted into a secured database, where regular quality control checks would be implemented.</w:t>
      </w:r>
      <w:r w:rsidR="00B530E6" w:rsidRPr="009A56DA">
        <w:t xml:space="preserve"> No data will remain on the smartphone after uploads and the CHV will not have access to data that is already uploaded. </w:t>
      </w:r>
      <w:r w:rsidRPr="009A56DA">
        <w:t xml:space="preserve"> A backup of the original submitted data will be electronically maintained with stringent access control. Data management team will be trained on handling data using stringent privacy and security standard based on industry best practices. Cleaned data will be inserted into the master database, where a regular password protected secured backup will be made by the data manager.</w:t>
      </w:r>
      <w:r w:rsidR="00B530E6" w:rsidRPr="009A56DA">
        <w:t xml:space="preserve"> </w:t>
      </w:r>
      <w:r w:rsidRPr="009A56DA">
        <w:t xml:space="preserve">To ensure quantitative data collected, validation rules will be implemented on the platform and regular data checks would be performed. The digital form platform will be tested by the quality control team to </w:t>
      </w:r>
      <w:r w:rsidR="00504123" w:rsidRPr="009A56DA">
        <w:t>fine-tune</w:t>
      </w:r>
      <w:r w:rsidRPr="009A56DA">
        <w:t xml:space="preserve"> before it is implemented for data collection to ensure consistency in flow of questions</w:t>
      </w:r>
      <w:r w:rsidR="002866B7" w:rsidRPr="009A56DA">
        <w:t xml:space="preserve">. </w:t>
      </w:r>
      <w:r w:rsidRPr="009A56DA">
        <w:t>The data schema</w:t>
      </w:r>
      <w:r w:rsidR="00B530E6" w:rsidRPr="009A56DA">
        <w:t xml:space="preserve"> for electronic immunization registry is</w:t>
      </w:r>
      <w:r w:rsidRPr="009A56DA">
        <w:t xml:space="preserve"> shown in </w:t>
      </w:r>
      <w:r w:rsidR="009A3578" w:rsidRPr="009A56DA">
        <w:t>Appendix 2B</w:t>
      </w:r>
    </w:p>
    <w:p w14:paraId="6ADF2393" w14:textId="77777777" w:rsidR="00AF3F53" w:rsidRPr="009A56DA" w:rsidRDefault="00E20048">
      <w:pPr>
        <w:numPr>
          <w:ilvl w:val="0"/>
          <w:numId w:val="5"/>
        </w:numPr>
        <w:pBdr>
          <w:top w:val="nil"/>
          <w:left w:val="nil"/>
          <w:bottom w:val="nil"/>
          <w:right w:val="nil"/>
          <w:between w:val="nil"/>
        </w:pBdr>
        <w:spacing w:after="0" w:line="240" w:lineRule="auto"/>
        <w:contextualSpacing/>
        <w:jc w:val="both"/>
        <w:rPr>
          <w:b/>
          <w:color w:val="000000"/>
          <w:sz w:val="24"/>
          <w:szCs w:val="24"/>
        </w:rPr>
      </w:pPr>
      <w:r w:rsidRPr="009A56DA">
        <w:rPr>
          <w:b/>
          <w:color w:val="000000"/>
          <w:sz w:val="24"/>
          <w:szCs w:val="24"/>
        </w:rPr>
        <w:t>Data sharing</w:t>
      </w:r>
    </w:p>
    <w:p w14:paraId="0D64C0EE" w14:textId="1AAE22EE" w:rsidR="00AF3F53" w:rsidRPr="009A56DA" w:rsidRDefault="00E20048">
      <w:pPr>
        <w:spacing w:before="240" w:line="240" w:lineRule="auto"/>
        <w:jc w:val="both"/>
      </w:pPr>
      <w:r w:rsidRPr="009A56DA">
        <w:t xml:space="preserve">Data sharing will be based on a </w:t>
      </w:r>
      <w:r w:rsidR="00504123" w:rsidRPr="009A56DA">
        <w:t>pre-approved</w:t>
      </w:r>
      <w:r w:rsidRPr="009A56DA">
        <w:t xml:space="preserve"> list of role-based access control. Certain fields will be </w:t>
      </w:r>
      <w:r w:rsidR="00504123" w:rsidRPr="009A56DA">
        <w:t>anonymized</w:t>
      </w:r>
      <w:r w:rsidRPr="009A56DA">
        <w:t xml:space="preserve"> for the purpose of data anonymity. Role and need based limited data access will be granted as per the </w:t>
      </w:r>
      <w:r w:rsidR="00504123" w:rsidRPr="009A56DA">
        <w:t>pre-approved</w:t>
      </w:r>
      <w:r w:rsidRPr="009A56DA">
        <w:t xml:space="preserve"> list for data management and analysis </w:t>
      </w:r>
    </w:p>
    <w:p w14:paraId="6D4A2E1E" w14:textId="15014EBC" w:rsidR="00AF3F53" w:rsidRPr="009A56DA" w:rsidRDefault="00E20048">
      <w:pPr>
        <w:spacing w:before="240" w:line="240" w:lineRule="auto"/>
        <w:jc w:val="both"/>
      </w:pPr>
      <w:r w:rsidRPr="009A56DA">
        <w:t xml:space="preserve">Since the design and implementation of the electronic pregnancy, birth and immunization registry will be managed by VAL partners, a private </w:t>
      </w:r>
      <w:r w:rsidR="00504123" w:rsidRPr="009A56DA">
        <w:t>organization collaborating</w:t>
      </w:r>
      <w:r w:rsidRPr="009A56DA">
        <w:t xml:space="preserve"> with APHRC on this project, any data collected by VAL partners as result of performance of the services will be shared with APHRC on a monthly basis. APHRC has the right to use such data in anonymized format for the purpose of analyses, research, reporting, fundraising or publications in any other form or shape and share such data with third parties for the same purpose.</w:t>
      </w:r>
    </w:p>
    <w:p w14:paraId="51D835ED" w14:textId="77777777" w:rsidR="00AF3F53" w:rsidRPr="009A56DA" w:rsidRDefault="00E20048">
      <w:pPr>
        <w:spacing w:before="120" w:line="240" w:lineRule="auto"/>
        <w:jc w:val="both"/>
        <w:rPr>
          <w:b/>
          <w:sz w:val="24"/>
          <w:szCs w:val="24"/>
        </w:rPr>
      </w:pPr>
      <w:r w:rsidRPr="009A56DA">
        <w:rPr>
          <w:b/>
          <w:sz w:val="24"/>
          <w:szCs w:val="24"/>
        </w:rPr>
        <w:t>c) Data Analysis</w:t>
      </w:r>
    </w:p>
    <w:p w14:paraId="6E9996D8" w14:textId="77777777" w:rsidR="00AF3F53" w:rsidRPr="009A56DA" w:rsidRDefault="00E20048">
      <w:pPr>
        <w:spacing w:before="120" w:line="240" w:lineRule="auto"/>
        <w:jc w:val="both"/>
      </w:pPr>
      <w:r w:rsidRPr="009A56DA">
        <w:t>Timeliness of vaccination will be estimated at each point of enrolment.</w:t>
      </w:r>
    </w:p>
    <w:p w14:paraId="153CBCD4" w14:textId="77777777" w:rsidR="00AF3F53" w:rsidRPr="009A56DA" w:rsidRDefault="00E20048">
      <w:pPr>
        <w:spacing w:before="120" w:after="0" w:line="240" w:lineRule="auto"/>
        <w:jc w:val="both"/>
      </w:pPr>
      <w:r w:rsidRPr="009A56DA">
        <w:lastRenderedPageBreak/>
        <w:t xml:space="preserve">Using linked data by health facility staff for identifying newborns missing vaccinations, aggregated data summaries for health managers, proportions of timely BCG and OPV uptake by intervention period will be generated to estimate effectiveness of the intervention. </w:t>
      </w:r>
    </w:p>
    <w:p w14:paraId="5624DB45" w14:textId="77777777" w:rsidR="00AF3F53" w:rsidRPr="009A56DA" w:rsidRDefault="00E20048">
      <w:pPr>
        <w:spacing w:before="120" w:after="0" w:line="240" w:lineRule="auto"/>
        <w:jc w:val="both"/>
        <w:rPr>
          <w:b/>
        </w:rPr>
      </w:pPr>
      <w:r w:rsidRPr="009A56DA">
        <w:t xml:space="preserve">Data on feasibility of maintaining electronic pregnancy and birth registries by CHVs, electronic immunization registry, using linked data by health facility staff for identifying newborns missing vaccinations, aggregated data summaries for health managers, proportions of timely BCG and OPV uptake by intervention period will be generated to estimate effectiveness of the intervention. These will be published. </w:t>
      </w:r>
    </w:p>
    <w:p w14:paraId="1A28BD0D" w14:textId="151DF289" w:rsidR="00AF3F53" w:rsidRPr="009A56DA" w:rsidRDefault="00E20048">
      <w:pPr>
        <w:spacing w:before="120" w:line="240" w:lineRule="auto"/>
        <w:jc w:val="both"/>
      </w:pPr>
      <w:r w:rsidRPr="009A56DA">
        <w:t xml:space="preserve"> </w:t>
      </w:r>
    </w:p>
    <w:p w14:paraId="27E94C5A" w14:textId="77777777" w:rsidR="00AF3F53" w:rsidRPr="009A56DA" w:rsidRDefault="00E20048">
      <w:pPr>
        <w:spacing w:before="120" w:line="240" w:lineRule="auto"/>
        <w:jc w:val="both"/>
        <w:rPr>
          <w:i/>
        </w:rPr>
      </w:pPr>
      <w:r w:rsidRPr="009A56DA">
        <w:rPr>
          <w:i/>
        </w:rPr>
        <w:t>Econometric model</w:t>
      </w:r>
    </w:p>
    <w:p w14:paraId="3C22EE1D" w14:textId="77777777" w:rsidR="00AF3F53" w:rsidRPr="009A56DA" w:rsidRDefault="00E20048">
      <w:pPr>
        <w:jc w:val="both"/>
      </w:pPr>
      <w:r w:rsidRPr="009A56DA">
        <w:t>Multilevel analyses will be performed to take into account repeated measurements in children as well as the effects of clustering in the proposed study. We will use a mixed model including a random effect for each cluster and fixed effects for time period to account for secular trends</w:t>
      </w:r>
    </w:p>
    <w:p w14:paraId="1184044B" w14:textId="77777777" w:rsidR="00B530E6" w:rsidRPr="009A56DA" w:rsidRDefault="00E20048" w:rsidP="00B530E6">
      <w:pPr>
        <w:jc w:val="both"/>
        <w:rPr>
          <w:rFonts w:cstheme="minorHAnsi"/>
        </w:rPr>
      </w:pPr>
      <w:r w:rsidRPr="009A56DA">
        <w:t xml:space="preserve">The econometric model follows Hooper et al. [38]. For any time point, individuals are exposed to control or experimental treatment, and their outcomes are related over time. </w:t>
      </w:r>
      <w:r w:rsidR="00B530E6" w:rsidRPr="009A56DA">
        <w:rPr>
          <w:rFonts w:cstheme="minorHAnsi"/>
        </w:rPr>
        <w:t>The outcome (</w:t>
      </w:r>
      <w:r w:rsidR="00B530E6" w:rsidRPr="009A56DA">
        <w:rPr>
          <w:rFonts w:cstheme="minorHAnsi"/>
          <w:bCs/>
        </w:rPr>
        <w:t xml:space="preserve">timeliness of birthdose vaccination of </w:t>
      </w:r>
      <w:r w:rsidR="00B530E6" w:rsidRPr="009A56DA">
        <w:rPr>
          <w:rFonts w:cstheme="minorHAnsi"/>
          <w:color w:val="000000"/>
        </w:rPr>
        <w:t>BCG and OPV</w:t>
      </w:r>
      <w:r w:rsidR="00B530E6" w:rsidRPr="009A56DA">
        <w:rPr>
          <w:rFonts w:cstheme="minorHAnsi"/>
          <w:bCs/>
        </w:rPr>
        <w:t xml:space="preserve">) </w:t>
      </w:r>
      <w:r w:rsidR="00B530E6" w:rsidRPr="009A56DA">
        <w:rPr>
          <w:rFonts w:cstheme="minorHAnsi"/>
        </w:rPr>
        <w:t xml:space="preserve">at time </w:t>
      </w:r>
      <m:oMath>
        <m:r>
          <w:rPr>
            <w:rFonts w:ascii="Cambria Math" w:hAnsi="Cambria Math" w:cstheme="minorHAnsi"/>
            <w:lang w:val="en-GB"/>
          </w:rPr>
          <m:t>t=0,1,2…,T</m:t>
        </m:r>
      </m:oMath>
      <w:r w:rsidR="00B530E6" w:rsidRPr="009A56DA">
        <w:rPr>
          <w:rFonts w:cstheme="minorHAnsi"/>
        </w:rPr>
        <w:t xml:space="preserve"> for individual </w:t>
      </w:r>
      <m:oMath>
        <m:r>
          <w:rPr>
            <w:rFonts w:ascii="Cambria Math" w:hAnsi="Cambria Math" w:cstheme="minorHAnsi"/>
            <w:lang w:val="en-GB"/>
          </w:rPr>
          <m:t>i=1,2…,m</m:t>
        </m:r>
      </m:oMath>
      <w:r w:rsidR="00B530E6" w:rsidRPr="009A56DA">
        <w:rPr>
          <w:rFonts w:cstheme="minorHAnsi"/>
        </w:rPr>
        <w:t xml:space="preserve"> in cluster </w:t>
      </w:r>
      <m:oMath>
        <m:r>
          <w:rPr>
            <w:rFonts w:ascii="Cambria Math" w:hAnsi="Cambria Math" w:cstheme="minorHAnsi"/>
            <w:lang w:val="en-GB"/>
          </w:rPr>
          <m:t>k=1,…,K</m:t>
        </m:r>
      </m:oMath>
      <w:r w:rsidR="00B530E6" w:rsidRPr="009A56DA">
        <w:rPr>
          <w:rFonts w:cstheme="minorHAnsi"/>
        </w:rPr>
        <w:t xml:space="preserve">, arm </w:t>
      </w:r>
      <m:oMath>
        <m:r>
          <w:rPr>
            <w:rFonts w:ascii="Cambria Math" w:hAnsi="Cambria Math" w:cstheme="minorHAnsi"/>
            <w:lang w:val="en-GB"/>
          </w:rPr>
          <m:t>l=1,…,L</m:t>
        </m:r>
      </m:oMath>
      <w:r w:rsidR="00B530E6" w:rsidRPr="009A56DA">
        <w:rPr>
          <w:rFonts w:cstheme="minorHAnsi"/>
        </w:rPr>
        <w:t xml:space="preserve"> is</w:t>
      </w:r>
    </w:p>
    <w:p w14:paraId="10A56BD8" w14:textId="77777777" w:rsidR="00B530E6" w:rsidRPr="009A56DA" w:rsidRDefault="00243DC5" w:rsidP="00B530E6">
      <w:pPr>
        <w:jc w:val="both"/>
        <w:rPr>
          <w:rFonts w:cstheme="minorHAnsi"/>
        </w:rPr>
      </w:pPr>
      <m:oMath>
        <m:sSub>
          <m:sSubPr>
            <m:ctrlPr>
              <w:rPr>
                <w:rFonts w:ascii="Cambria Math" w:hAnsi="Cambria Math" w:cstheme="minorHAnsi"/>
                <w:i/>
              </w:rPr>
            </m:ctrlPr>
          </m:sSubPr>
          <m:e>
            <m:r>
              <w:rPr>
                <w:rFonts w:ascii="Cambria Math" w:hAnsi="Cambria Math" w:cstheme="minorHAnsi"/>
                <w:lang w:val="en-GB"/>
              </w:rPr>
              <m:t>Y</m:t>
            </m:r>
          </m:e>
          <m:sub>
            <m:r>
              <w:rPr>
                <w:rFonts w:ascii="Cambria Math" w:hAnsi="Cambria Math" w:cstheme="minorHAnsi"/>
                <w:lang w:val="en-GB"/>
              </w:rPr>
              <m:t>itkl</m:t>
            </m:r>
          </m:sub>
        </m:sSub>
        <m:r>
          <w:rPr>
            <w:rFonts w:ascii="Cambria Math" w:hAnsi="Cambria Math" w:cstheme="minorHAnsi"/>
          </w:rPr>
          <m:t>=γ+</m:t>
        </m:r>
        <m:sSub>
          <m:sSubPr>
            <m:ctrlPr>
              <w:rPr>
                <w:rFonts w:ascii="Cambria Math" w:hAnsi="Cambria Math" w:cstheme="minorHAnsi"/>
                <w:i/>
              </w:rPr>
            </m:ctrlPr>
          </m:sSubPr>
          <m:e>
            <m:r>
              <w:rPr>
                <w:rFonts w:ascii="Cambria Math" w:hAnsi="Cambria Math" w:cstheme="minorHAnsi"/>
                <w:lang w:val="en-GB"/>
              </w:rPr>
              <m:t>θ</m:t>
            </m:r>
          </m:e>
          <m:sub>
            <m:r>
              <w:rPr>
                <w:rFonts w:ascii="Cambria Math" w:hAnsi="Cambria Math" w:cstheme="minorHAnsi"/>
                <w:lang w:val="en-GB"/>
              </w:rPr>
              <m:t>t</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lang w:val="en-GB"/>
              </w:rPr>
              <m:t>A</m:t>
            </m:r>
          </m:e>
          <m:sub>
            <m:r>
              <w:rPr>
                <w:rFonts w:ascii="Cambria Math" w:hAnsi="Cambria Math" w:cstheme="minorHAnsi"/>
                <w:lang w:val="en-GB"/>
              </w:rPr>
              <m:t>lt</m:t>
            </m:r>
          </m:sub>
        </m:sSub>
        <m:r>
          <w:rPr>
            <w:rFonts w:ascii="Cambria Math" w:hAnsi="Cambria Math" w:cstheme="minorHAnsi"/>
            <w:lang w:val="en-GB"/>
          </w:rPr>
          <m:t>δ+</m:t>
        </m:r>
        <m:sSub>
          <m:sSubPr>
            <m:ctrlPr>
              <w:rPr>
                <w:rFonts w:ascii="Cambria Math" w:hAnsi="Cambria Math" w:cstheme="minorHAnsi"/>
                <w:i/>
              </w:rPr>
            </m:ctrlPr>
          </m:sSubPr>
          <m:e>
            <m:r>
              <w:rPr>
                <w:rFonts w:ascii="Cambria Math" w:hAnsi="Cambria Math" w:cstheme="minorHAnsi"/>
                <w:lang w:val="en-GB"/>
              </w:rPr>
              <m:t>ξ</m:t>
            </m:r>
          </m:e>
          <m:sub>
            <m:r>
              <w:rPr>
                <w:rFonts w:ascii="Cambria Math" w:hAnsi="Cambria Math" w:cstheme="minorHAnsi"/>
                <w:lang w:val="en-GB"/>
              </w:rPr>
              <m:t>kl</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lang w:val="en-GB"/>
              </w:rPr>
              <m:t>η</m:t>
            </m:r>
          </m:e>
          <m:sub>
            <m:r>
              <w:rPr>
                <w:rFonts w:ascii="Cambria Math" w:hAnsi="Cambria Math" w:cstheme="minorHAnsi"/>
                <w:lang w:val="en-GB"/>
              </w:rPr>
              <m:t>tkl</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lang w:val="en-GB"/>
              </w:rPr>
              <m:t>ε</m:t>
            </m:r>
          </m:e>
          <m:sub>
            <m:r>
              <w:rPr>
                <w:rFonts w:ascii="Cambria Math" w:hAnsi="Cambria Math" w:cstheme="minorHAnsi"/>
                <w:lang w:val="en-GB"/>
              </w:rPr>
              <m:t>itkl</m:t>
            </m:r>
          </m:sub>
        </m:sSub>
        <m:r>
          <w:rPr>
            <w:rFonts w:ascii="Cambria Math" w:hAnsi="Cambria Math" w:cstheme="minorHAnsi"/>
          </w:rPr>
          <m:t xml:space="preserve"> </m:t>
        </m:r>
      </m:oMath>
      <w:r w:rsidR="00B530E6" w:rsidRPr="009A56DA">
        <w:rPr>
          <w:rFonts w:cstheme="minorHAnsi"/>
        </w:rPr>
        <w:t xml:space="preserve">,                                                              </w:t>
      </w:r>
    </w:p>
    <w:p w14:paraId="3526F298" w14:textId="77777777" w:rsidR="00B530E6" w:rsidRPr="009A56DA" w:rsidRDefault="00B530E6" w:rsidP="00B530E6">
      <w:pPr>
        <w:jc w:val="both"/>
        <w:rPr>
          <w:rFonts w:cstheme="minorHAnsi"/>
        </w:rPr>
      </w:pPr>
      <w:r w:rsidRPr="009A56DA">
        <w:rPr>
          <w:rFonts w:cstheme="minorHAnsi"/>
        </w:rPr>
        <w:t>where</w:t>
      </w:r>
    </w:p>
    <w:p w14:paraId="323582BE" w14:textId="77777777" w:rsidR="00B530E6" w:rsidRPr="009A56DA" w:rsidRDefault="00243DC5" w:rsidP="00B530E6">
      <w:pPr>
        <w:jc w:val="both"/>
        <w:rPr>
          <w:rFonts w:cstheme="minorHAnsi"/>
        </w:rPr>
      </w:pPr>
      <m:oMathPara>
        <m:oMath>
          <m:sSub>
            <m:sSubPr>
              <m:ctrlPr>
                <w:rPr>
                  <w:rFonts w:ascii="Cambria Math" w:hAnsi="Cambria Math" w:cstheme="minorHAnsi"/>
                  <w:i/>
                </w:rPr>
              </m:ctrlPr>
            </m:sSubPr>
            <m:e>
              <m:r>
                <w:rPr>
                  <w:rFonts w:ascii="Cambria Math" w:hAnsi="Cambria Math" w:cstheme="minorHAnsi"/>
                  <w:lang w:val="en-GB"/>
                </w:rPr>
                <m:t>ε</m:t>
              </m:r>
            </m:e>
            <m:sub>
              <m:r>
                <w:rPr>
                  <w:rFonts w:ascii="Cambria Math" w:hAnsi="Cambria Math" w:cstheme="minorHAnsi"/>
                  <w:lang w:val="en-GB"/>
                </w:rPr>
                <m:t>itkl</m:t>
              </m:r>
            </m:sub>
          </m:sSub>
          <m:r>
            <w:rPr>
              <w:rFonts w:ascii="Cambria Math" w:hAnsi="Cambria Math" w:cstheme="minorHAnsi"/>
            </w:rPr>
            <m:t>~N</m:t>
          </m:r>
          <m:d>
            <m:dPr>
              <m:ctrlPr>
                <w:rPr>
                  <w:rFonts w:ascii="Cambria Math" w:hAnsi="Cambria Math" w:cstheme="minorHAnsi"/>
                  <w:i/>
                </w:rPr>
              </m:ctrlPr>
            </m:dPr>
            <m:e>
              <m:r>
                <w:rPr>
                  <w:rFonts w:ascii="Cambria Math" w:hAnsi="Cambria Math" w:cstheme="minorHAnsi"/>
                </w:rPr>
                <m:t>0,</m:t>
              </m:r>
              <m:sSubSup>
                <m:sSubSupPr>
                  <m:ctrlPr>
                    <w:rPr>
                      <w:rFonts w:ascii="Cambria Math" w:hAnsi="Cambria Math" w:cstheme="minorHAnsi"/>
                      <w:i/>
                    </w:rPr>
                  </m:ctrlPr>
                </m:sSubSupPr>
                <m:e>
                  <m:r>
                    <w:rPr>
                      <w:rFonts w:ascii="Cambria Math" w:hAnsi="Cambria Math" w:cstheme="minorHAnsi"/>
                      <w:lang w:val="en-GB"/>
                    </w:rPr>
                    <m:t>σ</m:t>
                  </m:r>
                </m:e>
                <m:sub>
                  <m:r>
                    <w:rPr>
                      <w:rFonts w:ascii="Cambria Math" w:hAnsi="Cambria Math" w:cstheme="minorHAnsi"/>
                      <w:lang w:val="en-GB"/>
                    </w:rPr>
                    <m:t>error</m:t>
                  </m:r>
                </m:sub>
                <m:sup>
                  <m:r>
                    <w:rPr>
                      <w:rFonts w:ascii="Cambria Math" w:hAnsi="Cambria Math" w:cstheme="minorHAnsi"/>
                    </w:rPr>
                    <m:t>2</m:t>
                  </m:r>
                </m:sup>
              </m:sSubSup>
            </m:e>
          </m:d>
        </m:oMath>
      </m:oMathPara>
    </w:p>
    <w:p w14:paraId="49E57E7A" w14:textId="77777777" w:rsidR="00B530E6" w:rsidRPr="009A56DA" w:rsidRDefault="00243DC5" w:rsidP="00B530E6">
      <w:pPr>
        <w:jc w:val="both"/>
        <w:rPr>
          <w:rFonts w:cstheme="minorHAnsi"/>
        </w:rPr>
      </w:pPr>
      <m:oMathPara>
        <m:oMath>
          <m:sSub>
            <m:sSubPr>
              <m:ctrlPr>
                <w:rPr>
                  <w:rFonts w:ascii="Cambria Math" w:hAnsi="Cambria Math" w:cstheme="minorHAnsi"/>
                  <w:i/>
                </w:rPr>
              </m:ctrlPr>
            </m:sSubPr>
            <m:e>
              <m:r>
                <w:rPr>
                  <w:rFonts w:ascii="Cambria Math" w:hAnsi="Cambria Math" w:cstheme="minorHAnsi"/>
                  <w:lang w:val="en-GB"/>
                </w:rPr>
                <m:t>η</m:t>
              </m:r>
            </m:e>
            <m:sub>
              <m:r>
                <w:rPr>
                  <w:rFonts w:ascii="Cambria Math" w:hAnsi="Cambria Math" w:cstheme="minorHAnsi"/>
                  <w:lang w:val="en-GB"/>
                </w:rPr>
                <m:t>tkl</m:t>
              </m:r>
            </m:sub>
          </m:sSub>
          <m:r>
            <w:rPr>
              <w:rFonts w:ascii="Cambria Math" w:hAnsi="Cambria Math" w:cstheme="minorHAnsi"/>
            </w:rPr>
            <m:t>~N</m:t>
          </m:r>
          <m:d>
            <m:dPr>
              <m:ctrlPr>
                <w:rPr>
                  <w:rFonts w:ascii="Cambria Math" w:hAnsi="Cambria Math" w:cstheme="minorHAnsi"/>
                  <w:i/>
                </w:rPr>
              </m:ctrlPr>
            </m:dPr>
            <m:e>
              <m:r>
                <w:rPr>
                  <w:rFonts w:ascii="Cambria Math" w:hAnsi="Cambria Math" w:cstheme="minorHAnsi"/>
                </w:rPr>
                <m:t>0,</m:t>
              </m:r>
              <m:sSubSup>
                <m:sSubSupPr>
                  <m:ctrlPr>
                    <w:rPr>
                      <w:rFonts w:ascii="Cambria Math" w:hAnsi="Cambria Math" w:cstheme="minorHAnsi"/>
                      <w:i/>
                    </w:rPr>
                  </m:ctrlPr>
                </m:sSubSupPr>
                <m:e>
                  <m:r>
                    <w:rPr>
                      <w:rFonts w:ascii="Cambria Math" w:hAnsi="Cambria Math" w:cstheme="minorHAnsi"/>
                      <w:lang w:val="en-GB"/>
                    </w:rPr>
                    <m:t>σ</m:t>
                  </m:r>
                </m:e>
                <m:sub>
                  <m:r>
                    <w:rPr>
                      <w:rFonts w:ascii="Cambria Math" w:hAnsi="Cambria Math" w:cstheme="minorHAnsi"/>
                      <w:lang w:val="en-GB"/>
                    </w:rPr>
                    <m:t>time|clust</m:t>
                  </m:r>
                </m:sub>
                <m:sup>
                  <m:r>
                    <w:rPr>
                      <w:rFonts w:ascii="Cambria Math" w:hAnsi="Cambria Math" w:cstheme="minorHAnsi"/>
                    </w:rPr>
                    <m:t>2</m:t>
                  </m:r>
                </m:sup>
              </m:sSubSup>
            </m:e>
          </m:d>
        </m:oMath>
      </m:oMathPara>
    </w:p>
    <w:p w14:paraId="0431E4CB" w14:textId="77777777" w:rsidR="00B530E6" w:rsidRPr="009A56DA" w:rsidRDefault="00243DC5" w:rsidP="00B530E6">
      <w:pPr>
        <w:jc w:val="both"/>
        <w:rPr>
          <w:rFonts w:cstheme="minorHAnsi"/>
          <w:b/>
        </w:rPr>
      </w:pPr>
      <m:oMath>
        <m:sSub>
          <m:sSubPr>
            <m:ctrlPr>
              <w:rPr>
                <w:rFonts w:ascii="Cambria Math" w:hAnsi="Cambria Math" w:cstheme="minorHAnsi"/>
                <w:i/>
              </w:rPr>
            </m:ctrlPr>
          </m:sSubPr>
          <m:e>
            <m:r>
              <w:rPr>
                <w:rFonts w:ascii="Cambria Math" w:hAnsi="Cambria Math" w:cstheme="minorHAnsi"/>
                <w:lang w:val="en-GB"/>
              </w:rPr>
              <m:t>ξ</m:t>
            </m:r>
          </m:e>
          <m:sub>
            <m:r>
              <w:rPr>
                <w:rFonts w:ascii="Cambria Math" w:hAnsi="Cambria Math" w:cstheme="minorHAnsi"/>
                <w:lang w:val="en-GB"/>
              </w:rPr>
              <m:t>kl</m:t>
            </m:r>
          </m:sub>
        </m:sSub>
        <m:r>
          <w:rPr>
            <w:rFonts w:ascii="Cambria Math" w:hAnsi="Cambria Math" w:cstheme="minorHAnsi"/>
          </w:rPr>
          <m:t>~N</m:t>
        </m:r>
        <m:d>
          <m:dPr>
            <m:ctrlPr>
              <w:rPr>
                <w:rFonts w:ascii="Cambria Math" w:hAnsi="Cambria Math" w:cstheme="minorHAnsi"/>
                <w:i/>
              </w:rPr>
            </m:ctrlPr>
          </m:dPr>
          <m:e>
            <m:r>
              <w:rPr>
                <w:rFonts w:ascii="Cambria Math" w:hAnsi="Cambria Math" w:cstheme="minorHAnsi"/>
              </w:rPr>
              <m:t>0,</m:t>
            </m:r>
            <m:sSubSup>
              <m:sSubSupPr>
                <m:ctrlPr>
                  <w:rPr>
                    <w:rFonts w:ascii="Cambria Math" w:hAnsi="Cambria Math" w:cstheme="minorHAnsi"/>
                    <w:i/>
                  </w:rPr>
                </m:ctrlPr>
              </m:sSubSupPr>
              <m:e>
                <m:r>
                  <w:rPr>
                    <w:rFonts w:ascii="Cambria Math" w:hAnsi="Cambria Math" w:cstheme="minorHAnsi"/>
                    <w:lang w:val="en-GB"/>
                  </w:rPr>
                  <m:t>σ</m:t>
                </m:r>
              </m:e>
              <m:sub>
                <m:r>
                  <w:rPr>
                    <w:rFonts w:ascii="Cambria Math" w:hAnsi="Cambria Math" w:cstheme="minorHAnsi"/>
                    <w:lang w:val="en-GB"/>
                  </w:rPr>
                  <m:t>clust</m:t>
                </m:r>
              </m:sub>
              <m:sup>
                <m:r>
                  <w:rPr>
                    <w:rFonts w:ascii="Cambria Math" w:hAnsi="Cambria Math" w:cstheme="minorHAnsi"/>
                  </w:rPr>
                  <m:t>2</m:t>
                </m:r>
              </m:sup>
            </m:sSubSup>
          </m:e>
        </m:d>
      </m:oMath>
      <w:r w:rsidR="00B530E6" w:rsidRPr="009A56DA">
        <w:rPr>
          <w:rFonts w:cstheme="minorHAnsi"/>
        </w:rPr>
        <w:t>,</w:t>
      </w:r>
    </w:p>
    <w:p w14:paraId="0922E464" w14:textId="77777777" w:rsidR="00B530E6" w:rsidRPr="009A56DA" w:rsidRDefault="00B530E6" w:rsidP="00B530E6">
      <w:pPr>
        <w:jc w:val="both"/>
        <w:rPr>
          <w:rFonts w:cstheme="minorHAnsi"/>
          <w:b/>
        </w:rPr>
      </w:pPr>
    </w:p>
    <w:p w14:paraId="1AA07CFD" w14:textId="77777777" w:rsidR="00B530E6" w:rsidRPr="009A56DA" w:rsidRDefault="00B530E6" w:rsidP="00B530E6">
      <w:pPr>
        <w:jc w:val="both"/>
        <w:rPr>
          <w:rFonts w:cstheme="minorHAnsi"/>
        </w:rPr>
      </w:pPr>
      <w:r w:rsidRPr="009A56DA">
        <w:rPr>
          <w:rFonts w:cstheme="minorHAnsi"/>
        </w:rPr>
        <w:t>with the</w:t>
      </w:r>
      <w:r w:rsidRPr="009A56DA">
        <w:rPr>
          <w:rFonts w:cstheme="minorHAnsi"/>
          <w:b/>
        </w:rPr>
        <w:t xml:space="preserve">  </w:t>
      </w:r>
      <m:oMath>
        <m:sSub>
          <m:sSubPr>
            <m:ctrlPr>
              <w:rPr>
                <w:rFonts w:ascii="Cambria Math" w:hAnsi="Cambria Math" w:cstheme="minorHAnsi"/>
                <w:i/>
              </w:rPr>
            </m:ctrlPr>
          </m:sSubPr>
          <m:e>
            <m:r>
              <w:rPr>
                <w:rFonts w:ascii="Cambria Math" w:hAnsi="Cambria Math" w:cstheme="minorHAnsi"/>
                <w:lang w:val="en-GB"/>
              </w:rPr>
              <m:t>ε</m:t>
            </m:r>
          </m:e>
          <m:sub>
            <m:r>
              <w:rPr>
                <w:rFonts w:ascii="Cambria Math" w:hAnsi="Cambria Math" w:cstheme="minorHAnsi"/>
                <w:lang w:val="en-GB"/>
              </w:rPr>
              <m:t>itkl</m:t>
            </m:r>
          </m:sub>
        </m:sSub>
      </m:oMath>
      <w:r w:rsidRPr="009A56DA">
        <w:rPr>
          <w:rFonts w:cstheme="minorHAnsi"/>
        </w:rPr>
        <w:t xml:space="preserve">, </w:t>
      </w:r>
      <m:oMath>
        <m:sSub>
          <m:sSubPr>
            <m:ctrlPr>
              <w:rPr>
                <w:rFonts w:ascii="Cambria Math" w:hAnsi="Cambria Math" w:cstheme="minorHAnsi"/>
                <w:i/>
              </w:rPr>
            </m:ctrlPr>
          </m:sSubPr>
          <m:e>
            <m:r>
              <w:rPr>
                <w:rFonts w:ascii="Cambria Math" w:hAnsi="Cambria Math" w:cstheme="minorHAnsi"/>
                <w:lang w:val="en-GB"/>
              </w:rPr>
              <m:t>η</m:t>
            </m:r>
          </m:e>
          <m:sub>
            <m:r>
              <w:rPr>
                <w:rFonts w:ascii="Cambria Math" w:hAnsi="Cambria Math" w:cstheme="minorHAnsi"/>
                <w:lang w:val="en-GB"/>
              </w:rPr>
              <m:t>tkl</m:t>
            </m:r>
          </m:sub>
        </m:sSub>
      </m:oMath>
      <w:r w:rsidRPr="009A56DA">
        <w:rPr>
          <w:rFonts w:cstheme="minorHAnsi"/>
        </w:rPr>
        <w:t xml:space="preserve"> and </w:t>
      </w:r>
      <m:oMath>
        <m:sSub>
          <m:sSubPr>
            <m:ctrlPr>
              <w:rPr>
                <w:rFonts w:ascii="Cambria Math" w:hAnsi="Cambria Math" w:cstheme="minorHAnsi"/>
                <w:i/>
              </w:rPr>
            </m:ctrlPr>
          </m:sSubPr>
          <m:e>
            <m:r>
              <w:rPr>
                <w:rFonts w:ascii="Cambria Math" w:hAnsi="Cambria Math" w:cstheme="minorHAnsi"/>
                <w:lang w:val="en-GB"/>
              </w:rPr>
              <m:t>ξ</m:t>
            </m:r>
          </m:e>
          <m:sub>
            <m:r>
              <w:rPr>
                <w:rFonts w:ascii="Cambria Math" w:hAnsi="Cambria Math" w:cstheme="minorHAnsi"/>
                <w:lang w:val="en-GB"/>
              </w:rPr>
              <m:t>kl</m:t>
            </m:r>
          </m:sub>
        </m:sSub>
      </m:oMath>
      <w:r w:rsidRPr="009A56DA">
        <w:rPr>
          <w:rFonts w:cstheme="minorHAnsi"/>
        </w:rPr>
        <w:t xml:space="preserve"> all independent of another, and</w:t>
      </w:r>
    </w:p>
    <w:p w14:paraId="19E7B347" w14:textId="77777777" w:rsidR="00B530E6" w:rsidRPr="009A56DA" w:rsidRDefault="00B530E6" w:rsidP="00B530E6">
      <w:pPr>
        <w:jc w:val="both"/>
        <w:rPr>
          <w:rFonts w:cstheme="minorHAnsi"/>
          <w:b/>
        </w:rPr>
      </w:pPr>
    </w:p>
    <w:p w14:paraId="68D57B90" w14:textId="77777777" w:rsidR="00B530E6" w:rsidRPr="009A56DA" w:rsidRDefault="00243DC5" w:rsidP="00B530E6">
      <w:pPr>
        <w:jc w:val="both"/>
        <w:rPr>
          <w:rFonts w:cstheme="minorHAnsi"/>
          <w:b/>
        </w:rPr>
      </w:pPr>
      <m:oMathPara>
        <m:oMath>
          <m:sSub>
            <m:sSubPr>
              <m:ctrlPr>
                <w:rPr>
                  <w:rFonts w:ascii="Cambria Math" w:hAnsi="Cambria Math" w:cstheme="minorHAnsi"/>
                  <w:i/>
                </w:rPr>
              </m:ctrlPr>
            </m:sSubPr>
            <m:e>
              <m:r>
                <w:rPr>
                  <w:rFonts w:ascii="Cambria Math" w:hAnsi="Cambria Math" w:cstheme="minorHAnsi"/>
                  <w:lang w:val="en-GB"/>
                </w:rPr>
                <m:t>A</m:t>
              </m:r>
            </m:e>
            <m:sub>
              <m:r>
                <w:rPr>
                  <w:rFonts w:ascii="Cambria Math" w:hAnsi="Cambria Math" w:cstheme="minorHAnsi"/>
                  <w:lang w:val="en-GB"/>
                </w:rPr>
                <m:t>lt</m:t>
              </m:r>
            </m:sub>
          </m:sSub>
          <m:r>
            <w:rPr>
              <w:rFonts w:ascii="Cambria Math" w:hAnsi="Cambria Math" w:cstheme="minorHAnsi"/>
              <w:lang w:val="en-GB"/>
            </w:rPr>
            <m:t>=</m:t>
          </m:r>
          <m:d>
            <m:dPr>
              <m:begChr m:val="{"/>
              <m:endChr m:val=""/>
              <m:ctrlPr>
                <w:rPr>
                  <w:rFonts w:ascii="Cambria Math" w:hAnsi="Cambria Math" w:cstheme="minorHAnsi"/>
                  <w:i/>
                </w:rPr>
              </m:ctrlPr>
            </m:dPr>
            <m:e>
              <m:eqArr>
                <m:eqArrPr>
                  <m:ctrlPr>
                    <w:rPr>
                      <w:rFonts w:ascii="Cambria Math" w:hAnsi="Cambria Math" w:cstheme="minorHAnsi"/>
                      <w:i/>
                    </w:rPr>
                  </m:ctrlPr>
                </m:eqArrPr>
                <m:e>
                  <m:r>
                    <w:rPr>
                      <w:rFonts w:ascii="Cambria Math" w:hAnsi="Cambria Math" w:cstheme="minorHAnsi"/>
                      <w:lang w:val="en-GB"/>
                    </w:rPr>
                    <m:t>1,  &amp;if arm l is receiving the intervention at time t</m:t>
                  </m:r>
                </m:e>
                <m:e>
                  <m:r>
                    <w:rPr>
                      <w:rFonts w:ascii="Cambria Math" w:hAnsi="Cambria Math" w:cstheme="minorHAnsi"/>
                      <w:lang w:val="en-GB"/>
                    </w:rPr>
                    <m:t xml:space="preserve">0,  &amp;if arm l is receiving the control treatment at time t </m:t>
                  </m:r>
                </m:e>
              </m:eqArr>
            </m:e>
          </m:d>
        </m:oMath>
      </m:oMathPara>
    </w:p>
    <w:p w14:paraId="60F23C2C" w14:textId="77777777" w:rsidR="00B530E6" w:rsidRPr="009A56DA" w:rsidRDefault="00243DC5" w:rsidP="00B530E6">
      <w:pPr>
        <w:jc w:val="both"/>
        <w:rPr>
          <w:rFonts w:cstheme="minorHAnsi"/>
        </w:rPr>
      </w:pPr>
      <m:oMathPara>
        <m:oMath>
          <m:sSup>
            <m:sSupPr>
              <m:ctrlPr>
                <w:rPr>
                  <w:rFonts w:ascii="Cambria Math" w:hAnsi="Cambria Math" w:cstheme="minorHAnsi"/>
                  <w:i/>
                </w:rPr>
              </m:ctrlPr>
            </m:sSupPr>
            <m:e>
              <m:r>
                <w:rPr>
                  <w:rFonts w:ascii="Cambria Math" w:hAnsi="Cambria Math" w:cstheme="minorHAnsi"/>
                  <w:lang w:val="en-GB"/>
                </w:rPr>
                <m:t>σ</m:t>
              </m:r>
            </m:e>
            <m:sup>
              <m:r>
                <w:rPr>
                  <w:rFonts w:ascii="Cambria Math" w:hAnsi="Cambria Math" w:cstheme="minorHAnsi"/>
                </w:rPr>
                <m:t>2</m:t>
              </m:r>
            </m:sup>
          </m:s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lang w:val="en-GB"/>
                </w:rPr>
                <m:t>σ</m:t>
              </m:r>
            </m:e>
            <m:sub>
              <m:r>
                <w:rPr>
                  <w:rFonts w:ascii="Cambria Math" w:hAnsi="Cambria Math" w:cstheme="minorHAnsi"/>
                  <w:lang w:val="en-GB"/>
                </w:rPr>
                <m:t>error</m:t>
              </m:r>
            </m:sub>
            <m:sup>
              <m:r>
                <w:rPr>
                  <w:rFonts w:ascii="Cambria Math" w:hAnsi="Cambria Math" w:cstheme="minorHAnsi"/>
                </w:rPr>
                <m:t>2</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lang w:val="en-GB"/>
                </w:rPr>
                <m:t>σ</m:t>
              </m:r>
            </m:e>
            <m:sub>
              <m:r>
                <w:rPr>
                  <w:rFonts w:ascii="Cambria Math" w:hAnsi="Cambria Math" w:cstheme="minorHAnsi"/>
                  <w:lang w:val="en-GB"/>
                </w:rPr>
                <m:t>time|clust</m:t>
              </m:r>
            </m:sub>
            <m:sup>
              <m:r>
                <w:rPr>
                  <w:rFonts w:ascii="Cambria Math" w:hAnsi="Cambria Math" w:cstheme="minorHAnsi"/>
                </w:rPr>
                <m:t>2</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lang w:val="en-GB"/>
                </w:rPr>
                <m:t>σ</m:t>
              </m:r>
            </m:e>
            <m:sub>
              <m:r>
                <w:rPr>
                  <w:rFonts w:ascii="Cambria Math" w:hAnsi="Cambria Math" w:cstheme="minorHAnsi"/>
                  <w:lang w:val="en-GB"/>
                </w:rPr>
                <m:t>clust</m:t>
              </m:r>
            </m:sub>
            <m:sup>
              <m:r>
                <w:rPr>
                  <w:rFonts w:ascii="Cambria Math" w:hAnsi="Cambria Math" w:cstheme="minorHAnsi"/>
                </w:rPr>
                <m:t>2</m:t>
              </m:r>
            </m:sup>
          </m:sSubSup>
        </m:oMath>
      </m:oMathPara>
    </w:p>
    <w:p w14:paraId="47FB3D4C" w14:textId="77777777" w:rsidR="00B530E6" w:rsidRPr="009A56DA" w:rsidRDefault="00243DC5" w:rsidP="00B530E6">
      <w:pPr>
        <w:jc w:val="both"/>
        <w:rPr>
          <w:rFonts w:cstheme="minorHAnsi"/>
          <w:b/>
        </w:rPr>
      </w:pPr>
      <m:oMathPara>
        <m:oMath>
          <m:sSubSup>
            <m:sSubSupPr>
              <m:ctrlPr>
                <w:rPr>
                  <w:rFonts w:ascii="Cambria Math" w:hAnsi="Cambria Math" w:cstheme="minorHAnsi"/>
                  <w:i/>
                </w:rPr>
              </m:ctrlPr>
            </m:sSubSupPr>
            <m:e>
              <m:r>
                <w:rPr>
                  <w:rFonts w:ascii="Cambria Math" w:hAnsi="Cambria Math" w:cstheme="minorHAnsi"/>
                  <w:lang w:val="en-GB"/>
                </w:rPr>
                <m:t>ρ=</m:t>
              </m:r>
              <m:sSubSup>
                <m:sSubSupPr>
                  <m:ctrlPr>
                    <w:rPr>
                      <w:rFonts w:ascii="Cambria Math" w:hAnsi="Cambria Math" w:cstheme="minorHAnsi"/>
                      <w:i/>
                    </w:rPr>
                  </m:ctrlPr>
                </m:sSubSupPr>
                <m:e>
                  <m:r>
                    <w:rPr>
                      <w:rFonts w:ascii="Cambria Math" w:hAnsi="Cambria Math" w:cstheme="minorHAnsi"/>
                      <w:lang w:val="en-GB"/>
                    </w:rPr>
                    <m:t>(σ</m:t>
                  </m:r>
                </m:e>
                <m:sub>
                  <m:r>
                    <w:rPr>
                      <w:rFonts w:ascii="Cambria Math" w:hAnsi="Cambria Math" w:cstheme="minorHAnsi"/>
                      <w:lang w:val="en-GB"/>
                    </w:rPr>
                    <m:t>time|clust</m:t>
                  </m:r>
                </m:sub>
                <m:sup>
                  <m:r>
                    <w:rPr>
                      <w:rFonts w:ascii="Cambria Math" w:hAnsi="Cambria Math" w:cstheme="minorHAnsi"/>
                    </w:rPr>
                    <m:t>2</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lang w:val="en-GB"/>
                    </w:rPr>
                    <m:t>σ</m:t>
                  </m:r>
                </m:e>
                <m:sub>
                  <m:r>
                    <w:rPr>
                      <w:rFonts w:ascii="Cambria Math" w:hAnsi="Cambria Math" w:cstheme="minorHAnsi"/>
                      <w:lang w:val="en-GB"/>
                    </w:rPr>
                    <m:t>clust</m:t>
                  </m:r>
                </m:sub>
                <m:sup>
                  <m:r>
                    <w:rPr>
                      <w:rFonts w:ascii="Cambria Math" w:hAnsi="Cambria Math" w:cstheme="minorHAnsi"/>
                    </w:rPr>
                    <m:t>2</m:t>
                  </m:r>
                </m:sup>
              </m:sSubSup>
              <m:r>
                <w:rPr>
                  <w:rFonts w:ascii="Cambria Math" w:hAnsi="Cambria Math" w:cstheme="minorHAnsi"/>
                  <w:lang w:val="en-GB"/>
                </w:rPr>
                <m:t>)/(σ</m:t>
              </m:r>
            </m:e>
            <m:sub>
              <m:r>
                <w:rPr>
                  <w:rFonts w:ascii="Cambria Math" w:hAnsi="Cambria Math" w:cstheme="minorHAnsi"/>
                  <w:lang w:val="en-GB"/>
                </w:rPr>
                <m:t>error</m:t>
              </m:r>
            </m:sub>
            <m:sup>
              <m:r>
                <w:rPr>
                  <w:rFonts w:ascii="Cambria Math" w:hAnsi="Cambria Math" w:cstheme="minorHAnsi"/>
                </w:rPr>
                <m:t>2</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lang w:val="en-GB"/>
                </w:rPr>
                <m:t>σ</m:t>
              </m:r>
            </m:e>
            <m:sub>
              <m:r>
                <w:rPr>
                  <w:rFonts w:ascii="Cambria Math" w:hAnsi="Cambria Math" w:cstheme="minorHAnsi"/>
                  <w:lang w:val="en-GB"/>
                </w:rPr>
                <m:t>time|clust</m:t>
              </m:r>
            </m:sub>
            <m:sup>
              <m:r>
                <w:rPr>
                  <w:rFonts w:ascii="Cambria Math" w:hAnsi="Cambria Math" w:cstheme="minorHAnsi"/>
                </w:rPr>
                <m:t>2</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lang w:val="en-GB"/>
                </w:rPr>
                <m:t>σ</m:t>
              </m:r>
            </m:e>
            <m:sub>
              <m:r>
                <w:rPr>
                  <w:rFonts w:ascii="Cambria Math" w:hAnsi="Cambria Math" w:cstheme="minorHAnsi"/>
                  <w:lang w:val="en-GB"/>
                </w:rPr>
                <m:t>clust</m:t>
              </m:r>
            </m:sub>
            <m:sup>
              <m:r>
                <w:rPr>
                  <w:rFonts w:ascii="Cambria Math" w:hAnsi="Cambria Math" w:cstheme="minorHAnsi"/>
                </w:rPr>
                <m:t>2</m:t>
              </m:r>
            </m:sup>
          </m:sSubSup>
          <m:r>
            <w:rPr>
              <w:rFonts w:ascii="Cambria Math" w:hAnsi="Cambria Math" w:cstheme="minorHAnsi"/>
              <w:lang w:val="en-GB"/>
            </w:rPr>
            <m:t>)</m:t>
          </m:r>
        </m:oMath>
      </m:oMathPara>
    </w:p>
    <w:p w14:paraId="0C6B7A3C" w14:textId="77777777" w:rsidR="00B530E6" w:rsidRPr="009A56DA" w:rsidRDefault="00B530E6" w:rsidP="00B530E6">
      <w:pPr>
        <w:jc w:val="both"/>
        <w:rPr>
          <w:rFonts w:cstheme="minorHAnsi"/>
          <w:b/>
        </w:rPr>
      </w:pPr>
      <m:oMathPara>
        <m:oMath>
          <m:r>
            <w:rPr>
              <w:rFonts w:ascii="Cambria Math" w:hAnsi="Cambria Math" w:cstheme="minorHAnsi"/>
            </w:rPr>
            <m:t>π</m:t>
          </m:r>
          <m:r>
            <m:rPr>
              <m:sty m:val="bi"/>
            </m:rP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lang w:val="en-GB"/>
                </w:rPr>
                <m:t>σ</m:t>
              </m:r>
            </m:e>
            <m:sub>
              <m:r>
                <w:rPr>
                  <w:rFonts w:ascii="Cambria Math" w:hAnsi="Cambria Math" w:cstheme="minorHAnsi"/>
                  <w:lang w:val="en-GB"/>
                </w:rPr>
                <m:t>clust</m:t>
              </m:r>
            </m:sub>
            <m:sup>
              <m:r>
                <w:rPr>
                  <w:rFonts w:ascii="Cambria Math" w:hAnsi="Cambria Math" w:cstheme="minorHAnsi"/>
                </w:rPr>
                <m:t>2</m:t>
              </m:r>
            </m:sup>
          </m:sSubSup>
          <m:r>
            <w:rPr>
              <w:rFonts w:ascii="Cambria Math" w:hAnsi="Cambria Math" w:cstheme="minorHAnsi"/>
              <w:lang w:val="en-GB"/>
            </w:rPr>
            <m:t>/(</m:t>
          </m:r>
          <m:sSubSup>
            <m:sSubSupPr>
              <m:ctrlPr>
                <w:rPr>
                  <w:rFonts w:ascii="Cambria Math" w:hAnsi="Cambria Math" w:cstheme="minorHAnsi"/>
                  <w:i/>
                </w:rPr>
              </m:ctrlPr>
            </m:sSubSupPr>
            <m:e>
              <m:r>
                <w:rPr>
                  <w:rFonts w:ascii="Cambria Math" w:hAnsi="Cambria Math" w:cstheme="minorHAnsi"/>
                  <w:lang w:val="en-GB"/>
                </w:rPr>
                <m:t>σ</m:t>
              </m:r>
            </m:e>
            <m:sub>
              <m:r>
                <w:rPr>
                  <w:rFonts w:ascii="Cambria Math" w:hAnsi="Cambria Math" w:cstheme="minorHAnsi"/>
                  <w:lang w:val="en-GB"/>
                </w:rPr>
                <m:t>time|clust</m:t>
              </m:r>
            </m:sub>
            <m:sup>
              <m:r>
                <w:rPr>
                  <w:rFonts w:ascii="Cambria Math" w:hAnsi="Cambria Math" w:cstheme="minorHAnsi"/>
                </w:rPr>
                <m:t>2</m:t>
              </m:r>
            </m:sup>
          </m:sSubSup>
          <m:r>
            <w:rPr>
              <w:rFonts w:ascii="Cambria Math" w:hAnsi="Cambria Math" w:cstheme="minorHAnsi"/>
              <w:lang w:val="en-GB"/>
            </w:rPr>
            <m:t>+</m:t>
          </m:r>
          <m:sSubSup>
            <m:sSubSupPr>
              <m:ctrlPr>
                <w:rPr>
                  <w:rFonts w:ascii="Cambria Math" w:hAnsi="Cambria Math" w:cstheme="minorHAnsi"/>
                  <w:i/>
                </w:rPr>
              </m:ctrlPr>
            </m:sSubSupPr>
            <m:e>
              <m:r>
                <w:rPr>
                  <w:rFonts w:ascii="Cambria Math" w:hAnsi="Cambria Math" w:cstheme="minorHAnsi"/>
                  <w:lang w:val="en-GB"/>
                </w:rPr>
                <m:t>σ</m:t>
              </m:r>
            </m:e>
            <m:sub>
              <m:r>
                <w:rPr>
                  <w:rFonts w:ascii="Cambria Math" w:hAnsi="Cambria Math" w:cstheme="minorHAnsi"/>
                  <w:lang w:val="en-GB"/>
                </w:rPr>
                <m:t>clust</m:t>
              </m:r>
            </m:sub>
            <m:sup>
              <m:r>
                <w:rPr>
                  <w:rFonts w:ascii="Cambria Math" w:hAnsi="Cambria Math" w:cstheme="minorHAnsi"/>
                </w:rPr>
                <m:t>2</m:t>
              </m:r>
            </m:sup>
          </m:sSubSup>
          <m:r>
            <w:rPr>
              <w:rFonts w:ascii="Cambria Math" w:hAnsi="Cambria Math" w:cstheme="minorHAnsi"/>
              <w:lang w:val="en-GB"/>
            </w:rPr>
            <m:t>)</m:t>
          </m:r>
        </m:oMath>
      </m:oMathPara>
    </w:p>
    <w:p w14:paraId="5F5279BC" w14:textId="77777777" w:rsidR="00AF3F53" w:rsidRPr="009A56DA" w:rsidRDefault="00AF3F53">
      <w:pPr>
        <w:jc w:val="both"/>
        <w:rPr>
          <w:b/>
        </w:rPr>
      </w:pPr>
    </w:p>
    <w:p w14:paraId="7A150CAA" w14:textId="18848795" w:rsidR="00AF3F53" w:rsidRPr="009A56DA" w:rsidRDefault="00E20048">
      <w:pPr>
        <w:spacing w:after="0" w:line="240" w:lineRule="auto"/>
        <w:jc w:val="both"/>
      </w:pPr>
      <w:r w:rsidRPr="009A56DA">
        <w:t xml:space="preserve">In the hierarchical multilevel model above, the parameters </w:t>
      </w:r>
      <m:oMath>
        <m:sSub>
          <m:sSubPr>
            <m:ctrlPr>
              <w:rPr>
                <w:rFonts w:ascii="Cambria" w:eastAsia="Cambria" w:hAnsi="Cambria" w:cs="Cambria"/>
              </w:rPr>
            </m:ctrlPr>
          </m:sSubPr>
          <m:e>
            <m:r>
              <w:rPr>
                <w:rFonts w:ascii="Cambria Math" w:hAnsi="Cambria Math"/>
              </w:rPr>
              <m:t>θ</m:t>
            </m:r>
          </m:e>
          <m:sub>
            <m:r>
              <w:rPr>
                <w:rFonts w:ascii="Cambria" w:eastAsia="Cambria" w:hAnsi="Cambria" w:cs="Cambria"/>
              </w:rPr>
              <m:t>t</m:t>
            </m:r>
          </m:sub>
        </m:sSub>
      </m:oMath>
      <w:r w:rsidRPr="009A56DA">
        <w:t xml:space="preserve"> and </w:t>
      </w:r>
      <m:oMath>
        <m:r>
          <w:rPr>
            <w:rFonts w:ascii="Cambria Math" w:hAnsi="Cambria Math"/>
          </w:rPr>
          <m:t>δ</m:t>
        </m:r>
      </m:oMath>
      <w:r w:rsidRPr="009A56DA">
        <w:t xml:space="preserve"> are the time fixed effect and the treatment effect, respectively. The time effect assesses any systematic change that could happen with times, implying that we are capturing any overall trend in the outcome.. The intercept </w:t>
      </w:r>
      <m:oMath>
        <m:r>
          <w:rPr>
            <w:rFonts w:ascii="Cambria Math" w:hAnsi="Cambria Math"/>
          </w:rPr>
          <m:t>γ</m:t>
        </m:r>
      </m:oMath>
      <w:r w:rsidRPr="009A56DA">
        <w:t xml:space="preserve"> measures the overall mean of the outcomes across all clusters, time points and individuals. </w:t>
      </w:r>
      <w:r w:rsidRPr="009A56DA">
        <w:rPr>
          <w:rFonts w:ascii="Magneto" w:hAnsi="Magneto"/>
        </w:rPr>
        <w:t xml:space="preserve"> </w:t>
      </w:r>
      <m:oMath>
        <m:sSub>
          <m:sSubPr>
            <m:ctrlPr>
              <w:rPr>
                <w:rFonts w:ascii="Cambria Math" w:eastAsia="Cambria" w:hAnsi="Cambria Math" w:cs="Cambria"/>
              </w:rPr>
            </m:ctrlPr>
          </m:sSubPr>
          <m:e>
            <m:r>
              <w:rPr>
                <w:rFonts w:ascii="Cambria Math" w:hAnsi="Cambria Math"/>
              </w:rPr>
              <m:t>ξ</m:t>
            </m:r>
          </m:e>
          <m:sub>
            <m:r>
              <w:rPr>
                <w:rFonts w:ascii="Cambria Math" w:eastAsia="Cambria" w:hAnsi="Cambria Math" w:cs="Cambria"/>
              </w:rPr>
              <m:t>kl</m:t>
            </m:r>
          </m:sub>
        </m:sSub>
      </m:oMath>
      <w:r w:rsidRPr="009A56DA">
        <w:rPr>
          <w:rFonts w:ascii="Magneto" w:hAnsi="Magneto"/>
        </w:rPr>
        <w:t xml:space="preserve"> ,</w:t>
      </w:r>
      <m:oMath>
        <m:r>
          <w:rPr>
            <w:rFonts w:ascii="Cambria Math" w:eastAsia="Cambria" w:hAnsi="Cambria Math" w:cs="Cambria"/>
          </w:rPr>
          <m:t xml:space="preserve"> </m:t>
        </m:r>
        <m:sSub>
          <m:sSubPr>
            <m:ctrlPr>
              <w:rPr>
                <w:rFonts w:ascii="Cambria Math" w:eastAsia="Cambria" w:hAnsi="Cambria Math" w:cs="Cambria"/>
              </w:rPr>
            </m:ctrlPr>
          </m:sSubPr>
          <m:e>
            <m:r>
              <w:rPr>
                <w:rFonts w:ascii="Cambria Math" w:eastAsia="Cambria" w:hAnsi="Cambria Math" w:cs="Cambria"/>
              </w:rPr>
              <m:t>η</m:t>
            </m:r>
          </m:e>
          <m:sub>
            <m:r>
              <w:rPr>
                <w:rFonts w:ascii="Cambria Math" w:eastAsia="Cambria" w:hAnsi="Cambria Math" w:cs="Cambria"/>
              </w:rPr>
              <m:t>tkl</m:t>
            </m:r>
          </m:sub>
        </m:sSub>
      </m:oMath>
      <w:r w:rsidRPr="009A56DA">
        <w:rPr>
          <w:rFonts w:ascii="Magneto" w:hAnsi="Magneto"/>
        </w:rPr>
        <w:t xml:space="preserve">, </w:t>
      </w:r>
      <w:r w:rsidRPr="009A56DA">
        <w:t xml:space="preserve">and </w:t>
      </w:r>
      <m:oMath>
        <m:sSub>
          <m:sSubPr>
            <m:ctrlPr>
              <w:rPr>
                <w:rFonts w:ascii="Cambria Math" w:eastAsia="Cambria" w:hAnsi="Cambria Math" w:cs="Cambria"/>
              </w:rPr>
            </m:ctrlPr>
          </m:sSubPr>
          <m:e>
            <m:r>
              <w:rPr>
                <w:rFonts w:ascii="Cambria Math" w:hAnsi="Cambria Math"/>
              </w:rPr>
              <m:t>ε</m:t>
            </m:r>
          </m:e>
          <m:sub>
            <m:r>
              <w:rPr>
                <w:rFonts w:ascii="Cambria Math" w:eastAsia="Cambria" w:hAnsi="Cambria Math" w:cs="Cambria"/>
              </w:rPr>
              <m:t>itkl</m:t>
            </m:r>
          </m:sub>
        </m:sSub>
      </m:oMath>
      <w:r w:rsidRPr="009A56DA">
        <w:rPr>
          <w:rFonts w:ascii="Magneto" w:hAnsi="Magneto"/>
        </w:rPr>
        <w:t xml:space="preserve"> </w:t>
      </w:r>
      <w:r w:rsidRPr="009A56DA">
        <w:t xml:space="preserve">are the </w:t>
      </w:r>
      <w:r w:rsidRPr="009A56DA">
        <w:lastRenderedPageBreak/>
        <w:t xml:space="preserve">variation between clusters, variation between times within a cluster, and individual level residual error term, respectively. Furthermore, </w:t>
      </w:r>
      <m:oMath>
        <m:sSup>
          <m:sSupPr>
            <m:ctrlPr>
              <w:rPr>
                <w:rFonts w:ascii="Cambria" w:eastAsia="Cambria" w:hAnsi="Cambria" w:cs="Cambria"/>
              </w:rPr>
            </m:ctrlPr>
          </m:sSupPr>
          <m:e>
            <m:r>
              <w:rPr>
                <w:rFonts w:ascii="Cambria Math" w:hAnsi="Cambria Math"/>
              </w:rPr>
              <m:t>σ</m:t>
            </m:r>
          </m:e>
          <m:sup>
            <m:r>
              <w:rPr>
                <w:rFonts w:ascii="Cambria" w:eastAsia="Cambria" w:hAnsi="Cambria" w:cs="Cambria"/>
              </w:rPr>
              <m:t>2</m:t>
            </m:r>
          </m:sup>
        </m:sSup>
      </m:oMath>
      <w:r w:rsidRPr="009A56DA">
        <w:t xml:space="preserve"> is the total variance, </w:t>
      </w:r>
      <m:oMath>
        <m:r>
          <w:rPr>
            <w:rFonts w:ascii="Cambria Math" w:hAnsi="Cambria Math"/>
          </w:rPr>
          <m:t>ρ</m:t>
        </m:r>
      </m:oMath>
      <w:r w:rsidRPr="009A56DA">
        <w:t xml:space="preserve"> is the intra-cluster correlation which measures the correlation between the outcomes of two individuals from the same cluster at the same time, </w:t>
      </w:r>
      <m:oMath>
        <m:r>
          <w:rPr>
            <w:rFonts w:ascii="Cambria Math" w:hAnsi="Cambria Math"/>
          </w:rPr>
          <m:t>π</m:t>
        </m:r>
      </m:oMath>
      <w:r w:rsidRPr="009A56DA">
        <w:t xml:space="preserve"> is the cluster autocorrelation which captures the similarity of outcomes from individuals within a cluster taken at different times. The most key variables are: age of the children, gender of the children, vaccination timeliness, education of the mothers, income of the mothers, profession of the mothers, vaccine perceptions, etc. </w:t>
      </w:r>
    </w:p>
    <w:p w14:paraId="2F52123B" w14:textId="77777777" w:rsidR="00D80FDC" w:rsidRPr="009A56DA" w:rsidRDefault="00D80FDC">
      <w:pPr>
        <w:spacing w:after="0" w:line="240" w:lineRule="auto"/>
        <w:jc w:val="both"/>
      </w:pPr>
    </w:p>
    <w:p w14:paraId="5646861E" w14:textId="77777777" w:rsidR="00D80FDC" w:rsidRPr="009A56DA" w:rsidRDefault="00D80FDC" w:rsidP="00D80FDC">
      <w:pPr>
        <w:jc w:val="both"/>
        <w:rPr>
          <w:b/>
          <w:i/>
        </w:rPr>
      </w:pPr>
      <w:r w:rsidRPr="009A56DA">
        <w:rPr>
          <w:b/>
          <w:i/>
        </w:rPr>
        <w:t>Cost-effectiveness analysis and business model</w:t>
      </w:r>
    </w:p>
    <w:p w14:paraId="6A941F9D" w14:textId="4F164FF2" w:rsidR="00D80FDC" w:rsidRPr="009A56DA" w:rsidRDefault="00D80FDC" w:rsidP="00D80FDC">
      <w:pPr>
        <w:jc w:val="both"/>
      </w:pPr>
      <w:r w:rsidRPr="009A56DA">
        <w:t xml:space="preserve">We will use the ingredient approach to estimate the total cost of accessing vaccinations timely.  The costing will be done from both the provider’s and care givers perspective. The provider’s perspective represents a ‘business case’: how do the costs of the program compare to the gains or losses in productivity. As such it forms, in essence, an accounting exercise. Hence, we will collect the expenditures related to the establishing an electronic database, sending, SMS, transportation, drugs, </w:t>
      </w:r>
      <w:r w:rsidR="00EB5D67" w:rsidRPr="009A56DA">
        <w:t>forgone earnings due to time spent in clinics</w:t>
      </w:r>
      <w:r w:rsidRPr="009A56DA">
        <w:t>, etc. First, we will estimate the average cost (unit cost, i.e., total expenditures incurred by one</w:t>
      </w:r>
      <w:r w:rsidR="00EB5D67" w:rsidRPr="009A56DA">
        <w:t xml:space="preserve"> child to</w:t>
      </w:r>
      <w:r w:rsidRPr="009A56DA">
        <w:t xml:space="preserve"> </w:t>
      </w:r>
      <w:r w:rsidR="00EB5D67" w:rsidRPr="009A56DA">
        <w:t>access</w:t>
      </w:r>
      <w:r w:rsidR="008A1D28" w:rsidRPr="009A56DA">
        <w:t xml:space="preserve">. </w:t>
      </w:r>
      <w:r w:rsidR="00EB5D67" w:rsidRPr="009A56DA">
        <w:t xml:space="preserve"> </w:t>
      </w:r>
      <w:r w:rsidRPr="009A56DA">
        <w:t xml:space="preserve">A cost-effectiveness will also be carried out to estimate the cost to recruit an </w:t>
      </w:r>
      <w:r w:rsidRPr="009A56DA">
        <w:rPr>
          <w:i/>
        </w:rPr>
        <w:t>additional</w:t>
      </w:r>
      <w:r w:rsidRPr="009A56DA">
        <w:t xml:space="preserve"> </w:t>
      </w:r>
      <w:r w:rsidR="008A1D28" w:rsidRPr="009A56DA">
        <w:t>children for timely vaccination.</w:t>
      </w:r>
      <w:r w:rsidRPr="009A56DA">
        <w:t xml:space="preserve"> </w:t>
      </w:r>
    </w:p>
    <w:p w14:paraId="4F8DA765" w14:textId="4F9E1832" w:rsidR="00D80FDC" w:rsidRPr="009A56DA" w:rsidRDefault="00D80FDC" w:rsidP="00D80FDC">
      <w:pPr>
        <w:jc w:val="both"/>
      </w:pPr>
      <w:r w:rsidRPr="009A56DA">
        <w:t>Second</w:t>
      </w:r>
      <w:r w:rsidR="008A1D28" w:rsidRPr="009A56DA">
        <w:t>ly</w:t>
      </w:r>
      <w:r w:rsidRPr="009A56DA">
        <w:t>, we will develop a net-cost model to estimate the substantial cost savings for the individual using the productivity approach. Hence, the net benefit is:</w:t>
      </w:r>
    </w:p>
    <w:p w14:paraId="085BB3F9" w14:textId="361570D8" w:rsidR="00D80FDC" w:rsidRPr="009A56DA" w:rsidRDefault="00D80FDC" w:rsidP="00D80FDC">
      <w:pPr>
        <w:spacing w:line="240" w:lineRule="auto"/>
        <w:jc w:val="both"/>
      </w:pPr>
      <w:r w:rsidRPr="009A56DA">
        <w:t xml:space="preserve">The costs avoided will be translated into monetary terms by capturing the excess of lost work hours using a survey instrument or surveillance system, transport cost and </w:t>
      </w:r>
      <w:r w:rsidR="008A1D28" w:rsidRPr="009A56DA">
        <w:t>clinic viisits</w:t>
      </w:r>
      <w:r w:rsidRPr="009A56DA">
        <w:t xml:space="preserve"> that will be saved by patients due to the intervention (avoided medical costs=pre-intervention medical care cost minus post medical care cost). The costs of the intervention will be estimated using the ingredient approach and information found in the financial report. </w:t>
      </w:r>
    </w:p>
    <w:p w14:paraId="7A9236A0" w14:textId="77777777" w:rsidR="00D80FDC" w:rsidRPr="009A56DA" w:rsidRDefault="00D80FDC">
      <w:pPr>
        <w:spacing w:after="0" w:line="240" w:lineRule="auto"/>
        <w:jc w:val="both"/>
      </w:pPr>
    </w:p>
    <w:p w14:paraId="1493E121" w14:textId="77777777" w:rsidR="00AF3F53" w:rsidRPr="009A56DA" w:rsidRDefault="00E20048">
      <w:pPr>
        <w:pStyle w:val="Heading1"/>
        <w:rPr>
          <w:b/>
          <w:color w:val="000000"/>
          <w:sz w:val="28"/>
          <w:szCs w:val="28"/>
        </w:rPr>
      </w:pPr>
      <w:bookmarkStart w:id="24" w:name="_1ci93xb" w:colFirst="0" w:colLast="0"/>
      <w:bookmarkEnd w:id="24"/>
      <w:r w:rsidRPr="009A56DA">
        <w:rPr>
          <w:b/>
          <w:color w:val="000000"/>
          <w:sz w:val="28"/>
          <w:szCs w:val="28"/>
        </w:rPr>
        <w:t>X. Plan for Communicating Findings of the Study</w:t>
      </w:r>
    </w:p>
    <w:p w14:paraId="08305CC6" w14:textId="2022AEA0" w:rsidR="00AF3F53" w:rsidRPr="009A56DA" w:rsidRDefault="00E20048">
      <w:pPr>
        <w:spacing w:before="120" w:after="0" w:line="240" w:lineRule="auto"/>
        <w:jc w:val="both"/>
      </w:pPr>
      <w:r w:rsidRPr="009A56DA">
        <w:t>Since this project is a pilot phase, the findings generated from this study will be used to inform the design of a large trial</w:t>
      </w:r>
      <w:r w:rsidR="00161C8A" w:rsidRPr="009A56DA">
        <w:t xml:space="preserve"> in the same setting</w:t>
      </w:r>
      <w:r w:rsidRPr="009A56DA">
        <w:t xml:space="preserve"> in</w:t>
      </w:r>
      <w:r w:rsidR="00161C8A" w:rsidRPr="009A56DA">
        <w:t>cluding</w:t>
      </w:r>
      <w:r w:rsidRPr="009A56DA">
        <w:t xml:space="preserve"> a rural location to measure the effectiveness for timely </w:t>
      </w:r>
      <w:r w:rsidR="00504123" w:rsidRPr="009A56DA">
        <w:t>vaccination where</w:t>
      </w:r>
      <w:r w:rsidRPr="009A56DA">
        <w:t xml:space="preserve"> timeliness of birth dose vaccination is lower. Within the larger trial we hope to also measure the impact of the intervention on infant survival. The digital platform will be customized based on recommendations from this study to include additional features such as health sensitization videos. </w:t>
      </w:r>
    </w:p>
    <w:p w14:paraId="4263CABB" w14:textId="77777777" w:rsidR="00AF3F53" w:rsidRPr="009A56DA" w:rsidRDefault="00E20048">
      <w:pPr>
        <w:spacing w:before="120" w:after="0" w:line="240" w:lineRule="auto"/>
        <w:jc w:val="both"/>
        <w:rPr>
          <w:b/>
        </w:rPr>
      </w:pPr>
      <w:r w:rsidRPr="009A56DA">
        <w:t>We will also endeavor to disseminate findings of the study to the academic community, policy makers and wider community through knowledge translation activities such as open access publications, conference presentations, APHRC website and social media.</w:t>
      </w:r>
    </w:p>
    <w:p w14:paraId="0965479F" w14:textId="77777777" w:rsidR="00AF3F53" w:rsidRPr="009A56DA" w:rsidRDefault="00E20048">
      <w:pPr>
        <w:pStyle w:val="Heading1"/>
        <w:rPr>
          <w:b/>
          <w:color w:val="000000"/>
          <w:sz w:val="28"/>
          <w:szCs w:val="28"/>
        </w:rPr>
      </w:pPr>
      <w:bookmarkStart w:id="25" w:name="_3whwml4" w:colFirst="0" w:colLast="0"/>
      <w:bookmarkEnd w:id="25"/>
      <w:r w:rsidRPr="009A56DA">
        <w:rPr>
          <w:b/>
          <w:color w:val="000000"/>
          <w:sz w:val="28"/>
          <w:szCs w:val="28"/>
        </w:rPr>
        <w:t>XI. Study Limitations and Risks</w:t>
      </w:r>
    </w:p>
    <w:p w14:paraId="0D795084" w14:textId="77777777" w:rsidR="00AF3F53" w:rsidRPr="009A56DA" w:rsidRDefault="00E20048">
      <w:pPr>
        <w:pBdr>
          <w:top w:val="nil"/>
          <w:left w:val="nil"/>
          <w:bottom w:val="nil"/>
          <w:right w:val="nil"/>
          <w:between w:val="nil"/>
        </w:pBdr>
        <w:spacing w:after="120" w:line="276" w:lineRule="auto"/>
        <w:jc w:val="both"/>
        <w:rPr>
          <w:color w:val="000000"/>
        </w:rPr>
      </w:pPr>
      <w:r w:rsidRPr="009A56DA">
        <w:rPr>
          <w:b/>
          <w:color w:val="000000"/>
        </w:rPr>
        <w:t>Work force</w:t>
      </w:r>
      <w:r w:rsidRPr="009A56DA">
        <w:rPr>
          <w:color w:val="000000"/>
        </w:rPr>
        <w:t xml:space="preserve">. Primary health clinics and general practitioner’s offices are strained in high, middle and low-income settings. This study may place an unanticipated strain on these clinics making study recruitment, implementation, and follow-up difficult. </w:t>
      </w:r>
      <w:r w:rsidRPr="009A56DA">
        <w:t xml:space="preserve">The success of this project relies heavily on cooperation of CHVs and health workers working in the selected health facilities in the study area. These staff have many other competing priorities and thus with a heavy workload. However, APHRC has worked closely with CHVs and </w:t>
      </w:r>
      <w:r w:rsidRPr="009A56DA">
        <w:lastRenderedPageBreak/>
        <w:t>health workers in Viwandani in other projects and we will use the experiences of those projects to inform our approach. The project has budgeted some modest incentives to motivate the CHVs and health workers.</w:t>
      </w:r>
    </w:p>
    <w:p w14:paraId="0212A2D0" w14:textId="77777777" w:rsidR="00AF3F53" w:rsidRPr="009A56DA" w:rsidRDefault="00E20048">
      <w:pPr>
        <w:spacing w:after="0" w:line="240" w:lineRule="auto"/>
        <w:jc w:val="both"/>
        <w:rPr>
          <w:b/>
        </w:rPr>
      </w:pPr>
      <w:r w:rsidRPr="009A56DA">
        <w:rPr>
          <w:b/>
        </w:rPr>
        <w:t>Potential risks and benefits to patients </w:t>
      </w:r>
    </w:p>
    <w:p w14:paraId="1FFCA449" w14:textId="77777777" w:rsidR="00AF3F53" w:rsidRPr="009A56DA" w:rsidRDefault="00E20048">
      <w:pPr>
        <w:pBdr>
          <w:top w:val="nil"/>
          <w:left w:val="nil"/>
          <w:bottom w:val="nil"/>
          <w:right w:val="nil"/>
          <w:between w:val="nil"/>
        </w:pBdr>
        <w:spacing w:after="120" w:line="276" w:lineRule="auto"/>
        <w:jc w:val="both"/>
        <w:rPr>
          <w:color w:val="000000"/>
        </w:rPr>
      </w:pPr>
      <w:r w:rsidRPr="009A56DA">
        <w:rPr>
          <w:color w:val="000000"/>
        </w:rPr>
        <w:t xml:space="preserve">The study described in this proposal is a cross sectional stepped wedge design which introduces a new mobile health application for patients and providers. The model is embedded in local vaccination guidelines and should not deviate significantly from these guidelines. </w:t>
      </w:r>
    </w:p>
    <w:p w14:paraId="3A374A22" w14:textId="3BC8D2D2" w:rsidR="00AF3F53" w:rsidRPr="009A56DA" w:rsidRDefault="00E20048">
      <w:pPr>
        <w:pBdr>
          <w:top w:val="nil"/>
          <w:left w:val="nil"/>
          <w:bottom w:val="nil"/>
          <w:right w:val="nil"/>
          <w:between w:val="nil"/>
        </w:pBdr>
        <w:spacing w:after="120" w:line="276" w:lineRule="auto"/>
        <w:jc w:val="both"/>
        <w:rPr>
          <w:color w:val="000000"/>
        </w:rPr>
      </w:pPr>
      <w:r w:rsidRPr="009A56DA">
        <w:rPr>
          <w:color w:val="000000"/>
        </w:rPr>
        <w:t xml:space="preserve">Nonetheless, the proposed intervention has specific risks associated with it. Parents of the children enrolled may suffer stress and undue concern due to the frequent monitoring and follow up. This could result in an unnecessary and potentially costly visit to </w:t>
      </w:r>
      <w:r w:rsidRPr="009A56DA">
        <w:t>other</w:t>
      </w:r>
      <w:r w:rsidRPr="009A56DA">
        <w:rPr>
          <w:color w:val="000000"/>
        </w:rPr>
        <w:t xml:space="preserve"> health facilities for the patient. </w:t>
      </w:r>
    </w:p>
    <w:p w14:paraId="7623BB03" w14:textId="77777777" w:rsidR="00AF3F53" w:rsidRPr="009A56DA" w:rsidRDefault="00E20048">
      <w:pPr>
        <w:pBdr>
          <w:top w:val="nil"/>
          <w:left w:val="nil"/>
          <w:bottom w:val="nil"/>
          <w:right w:val="nil"/>
          <w:between w:val="nil"/>
        </w:pBdr>
        <w:spacing w:after="120" w:line="276" w:lineRule="auto"/>
        <w:jc w:val="both"/>
        <w:rPr>
          <w:color w:val="000000"/>
        </w:rPr>
      </w:pPr>
      <w:r w:rsidRPr="009A56DA">
        <w:rPr>
          <w:color w:val="000000"/>
        </w:rPr>
        <w:t>Our study has been designed to mitigate some of the risks. We will keep the follow up visits and text messages to minimum essential messages close to birth and immediately after birth to maximize timeliness of administering birth dose vaccines.</w:t>
      </w:r>
    </w:p>
    <w:p w14:paraId="53CA58ED" w14:textId="77777777" w:rsidR="00AF3F53" w:rsidRPr="009A56DA" w:rsidRDefault="00AF3F53">
      <w:pPr>
        <w:pBdr>
          <w:top w:val="nil"/>
          <w:left w:val="nil"/>
          <w:bottom w:val="nil"/>
          <w:right w:val="nil"/>
          <w:between w:val="nil"/>
        </w:pBdr>
        <w:spacing w:after="120" w:line="276" w:lineRule="auto"/>
        <w:jc w:val="both"/>
        <w:rPr>
          <w:color w:val="000000"/>
        </w:rPr>
      </w:pPr>
    </w:p>
    <w:p w14:paraId="622AA2A3" w14:textId="77777777" w:rsidR="00687A72" w:rsidRPr="009A56DA" w:rsidRDefault="00687A72">
      <w:pPr>
        <w:pBdr>
          <w:top w:val="nil"/>
          <w:left w:val="nil"/>
          <w:bottom w:val="nil"/>
          <w:right w:val="nil"/>
          <w:between w:val="nil"/>
        </w:pBdr>
        <w:spacing w:after="120" w:line="276" w:lineRule="auto"/>
        <w:jc w:val="both"/>
        <w:rPr>
          <w:color w:val="000000"/>
        </w:rPr>
      </w:pPr>
    </w:p>
    <w:p w14:paraId="14C2593D" w14:textId="77777777" w:rsidR="00AF3F53" w:rsidRPr="009A56DA" w:rsidRDefault="00E20048">
      <w:pPr>
        <w:pBdr>
          <w:top w:val="nil"/>
          <w:left w:val="nil"/>
          <w:bottom w:val="nil"/>
          <w:right w:val="nil"/>
          <w:between w:val="nil"/>
        </w:pBdr>
        <w:spacing w:after="120" w:line="276" w:lineRule="auto"/>
        <w:jc w:val="both"/>
        <w:rPr>
          <w:color w:val="000000"/>
        </w:rPr>
      </w:pPr>
      <w:r w:rsidRPr="009A56DA">
        <w:rPr>
          <w:color w:val="000000"/>
        </w:rPr>
        <w:t>Conversely, the proposed intervention could have several benefits for patients. The first is enhanced education and awareness of vaccination. The second is an improvement in the trust and reliance of the primary health care provider. The third is a potentially improved timeliness of vaccination which will lead to better protection of children against tuberculosis and polio thus better survival.</w:t>
      </w:r>
    </w:p>
    <w:p w14:paraId="7EE6242A" w14:textId="77777777" w:rsidR="00AF3F53" w:rsidRPr="009A56DA" w:rsidRDefault="00AF3F53">
      <w:pPr>
        <w:pBdr>
          <w:top w:val="nil"/>
          <w:left w:val="nil"/>
          <w:bottom w:val="nil"/>
          <w:right w:val="nil"/>
          <w:between w:val="nil"/>
        </w:pBdr>
        <w:spacing w:after="120" w:line="276" w:lineRule="auto"/>
        <w:jc w:val="both"/>
        <w:rPr>
          <w:color w:val="000000"/>
        </w:rPr>
      </w:pPr>
    </w:p>
    <w:p w14:paraId="5E066980" w14:textId="77777777" w:rsidR="00AF3F53" w:rsidRPr="009A56DA" w:rsidRDefault="00E20048">
      <w:pPr>
        <w:pBdr>
          <w:top w:val="nil"/>
          <w:left w:val="nil"/>
          <w:bottom w:val="nil"/>
          <w:right w:val="nil"/>
          <w:between w:val="nil"/>
        </w:pBdr>
        <w:spacing w:after="120" w:line="276" w:lineRule="auto"/>
        <w:jc w:val="both"/>
      </w:pPr>
      <w:r w:rsidRPr="009A56DA">
        <w:rPr>
          <w:color w:val="000000"/>
        </w:rPr>
        <w:t xml:space="preserve">This study has been designed in order to identify barriers to implementation of the model on a larger scale. Rich experiences from the study will inform the design of a larger trial that is anticipated to benefit populations beyond the study area. </w:t>
      </w:r>
    </w:p>
    <w:p w14:paraId="370A3249" w14:textId="77777777" w:rsidR="00AF3F53" w:rsidRPr="009A56DA" w:rsidRDefault="00E20048">
      <w:pPr>
        <w:pStyle w:val="Heading1"/>
        <w:rPr>
          <w:b/>
          <w:color w:val="000000"/>
          <w:sz w:val="28"/>
          <w:szCs w:val="28"/>
        </w:rPr>
      </w:pPr>
      <w:bookmarkStart w:id="26" w:name="_2bn6wsx" w:colFirst="0" w:colLast="0"/>
      <w:bookmarkEnd w:id="26"/>
      <w:r w:rsidRPr="009A56DA">
        <w:rPr>
          <w:b/>
          <w:color w:val="000000"/>
          <w:sz w:val="28"/>
          <w:szCs w:val="28"/>
        </w:rPr>
        <w:t xml:space="preserve"> XII Management and organization of the study </w:t>
      </w:r>
    </w:p>
    <w:p w14:paraId="1D37EBBF" w14:textId="77777777" w:rsidR="00AF3F53" w:rsidRPr="009A56DA" w:rsidRDefault="00AF3F53"/>
    <w:p w14:paraId="055BADF8" w14:textId="77777777" w:rsidR="00AF3F53" w:rsidRPr="009A56DA" w:rsidRDefault="00E20048">
      <w:pPr>
        <w:numPr>
          <w:ilvl w:val="0"/>
          <w:numId w:val="7"/>
        </w:numPr>
        <w:pBdr>
          <w:top w:val="nil"/>
          <w:left w:val="nil"/>
          <w:bottom w:val="nil"/>
          <w:right w:val="nil"/>
          <w:between w:val="nil"/>
        </w:pBdr>
        <w:spacing w:after="0" w:line="264" w:lineRule="auto"/>
        <w:contextualSpacing/>
        <w:rPr>
          <w:b/>
          <w:color w:val="000000"/>
        </w:rPr>
      </w:pPr>
      <w:r w:rsidRPr="009A56DA">
        <w:rPr>
          <w:b/>
          <w:color w:val="000000"/>
        </w:rPr>
        <w:t>Roles of investigators and team members</w:t>
      </w:r>
    </w:p>
    <w:p w14:paraId="292DC3AF" w14:textId="224C9670" w:rsidR="00AF3F53" w:rsidRPr="009A56DA" w:rsidRDefault="00E20048">
      <w:pPr>
        <w:jc w:val="both"/>
      </w:pPr>
      <w:r w:rsidRPr="009A56DA">
        <w:t>Gershim Asiki, the PI is an Associate Research scientist at APHRC. His role is to provide overall intellectual guidance and coordination of the project, supervise the research officers’ activities, and provide the external reporting needed by the funder. He will participate in data analyses and will lead the scientific publications. Hermann Donfouet a Co-principal Investigator will oversee the cost-effectiveness aspects including sampling of the study population, design of tools for cost-effectiveness analysis</w:t>
      </w:r>
    </w:p>
    <w:p w14:paraId="5BB8DA14" w14:textId="6F33F97D" w:rsidR="00AF3F53" w:rsidRPr="009A56DA" w:rsidRDefault="00E20048">
      <w:pPr>
        <w:jc w:val="both"/>
      </w:pPr>
      <w:r w:rsidRPr="009A56DA">
        <w:t>Two co-investigators: Martin Kavao Mutua (providing statistical support including design of study tools and analysis and Elizabeth Kimani (supporting project administration including financial oversight and reporting) will work closely with the PI in implementing this project.</w:t>
      </w:r>
    </w:p>
    <w:p w14:paraId="5D93125F" w14:textId="77777777" w:rsidR="00AF3F53" w:rsidRPr="009A56DA" w:rsidRDefault="00E20048">
      <w:pPr>
        <w:jc w:val="both"/>
      </w:pPr>
      <w:r w:rsidRPr="009A56DA">
        <w:t xml:space="preserve">Peter Otieno, a research officer at APHRC will coordinate the activities for the study. He will manage the day to day project activities including field logistics, overseeing the CHV and health facility staff duties and </w:t>
      </w:r>
      <w:r w:rsidRPr="009A56DA">
        <w:lastRenderedPageBreak/>
        <w:t>will be primarily responsible for the quality of the data. He will participate in data analysis and scientific writing.</w:t>
      </w:r>
    </w:p>
    <w:p w14:paraId="6E34AFEF" w14:textId="77777777" w:rsidR="00AF3F53" w:rsidRPr="009A56DA" w:rsidRDefault="00E20048">
      <w:pPr>
        <w:jc w:val="both"/>
      </w:pPr>
      <w:r w:rsidRPr="009A56DA">
        <w:t>A data analyst at APHRC will conduct regular data quality checks to ensure clean data is collected and will also conduct preliminary analysis for study reporting purposes.</w:t>
      </w:r>
    </w:p>
    <w:p w14:paraId="764E5377" w14:textId="77777777" w:rsidR="00AF3F53" w:rsidRPr="009A56DA" w:rsidRDefault="00E20048">
      <w:pPr>
        <w:jc w:val="both"/>
      </w:pPr>
      <w:r w:rsidRPr="009A56DA">
        <w:t xml:space="preserve">A data systems programmer at APHRC will work closely with VAL partners in monitoring the electronic data systems established for pregnancy, birth and vaccination registration. </w:t>
      </w:r>
    </w:p>
    <w:p w14:paraId="35E4EEF2" w14:textId="77777777" w:rsidR="00AF3F53" w:rsidRPr="009A56DA" w:rsidRDefault="00E20048">
      <w:pPr>
        <w:jc w:val="both"/>
      </w:pPr>
      <w:r w:rsidRPr="009A56DA">
        <w:t>A program assistant at APHRC will coordinate the logistics for workshops for training CHVs and health workers.</w:t>
      </w:r>
    </w:p>
    <w:p w14:paraId="2AAF975A" w14:textId="77777777" w:rsidR="00AF3F53" w:rsidRPr="009A56DA" w:rsidRDefault="00E20048">
      <w:pPr>
        <w:spacing w:after="0" w:line="240" w:lineRule="auto"/>
        <w:jc w:val="both"/>
      </w:pPr>
      <w:r w:rsidRPr="009A56DA">
        <w:t>The design and implementation of the electronic registry will be managed by VAL partners, a private organization that has been working closely with health stakeholders and research organizations in rolling out m-health based vaccination reminders (MOMTOTO). At VAL partners,</w:t>
      </w:r>
      <w:r w:rsidRPr="009A56DA">
        <w:rPr>
          <w:color w:val="222222"/>
        </w:rPr>
        <w:t xml:space="preserve"> Kumar Abhishek Khamrai</w:t>
      </w:r>
      <w:r w:rsidRPr="009A56DA">
        <w:t xml:space="preserve"> and Dominic Muindi will lead the design the tools for electronic data capture, text message design, train CHVs, health workers to manage the electronic data capture manage a database, monitor the progress of the data system and provide regular data reports.</w:t>
      </w:r>
    </w:p>
    <w:p w14:paraId="2D4E1E94" w14:textId="77777777" w:rsidR="00AF3F53" w:rsidRPr="009A56DA" w:rsidRDefault="00AF3F53">
      <w:pPr>
        <w:spacing w:after="0" w:line="240" w:lineRule="auto"/>
        <w:rPr>
          <w:rFonts w:ascii="Tahoma" w:eastAsia="Tahoma" w:hAnsi="Tahoma" w:cs="Tahoma"/>
          <w:sz w:val="24"/>
          <w:szCs w:val="24"/>
        </w:rPr>
      </w:pPr>
    </w:p>
    <w:p w14:paraId="735803EA" w14:textId="77777777" w:rsidR="00504123" w:rsidRPr="009A56DA" w:rsidRDefault="00504123">
      <w:pPr>
        <w:spacing w:after="0" w:line="240" w:lineRule="auto"/>
        <w:rPr>
          <w:rFonts w:ascii="Tahoma" w:eastAsia="Tahoma" w:hAnsi="Tahoma" w:cs="Tahoma"/>
          <w:sz w:val="24"/>
          <w:szCs w:val="24"/>
        </w:rPr>
      </w:pPr>
    </w:p>
    <w:p w14:paraId="129B22E5" w14:textId="77777777" w:rsidR="00504123" w:rsidRPr="009A56DA" w:rsidRDefault="00504123">
      <w:pPr>
        <w:spacing w:after="0" w:line="240" w:lineRule="auto"/>
        <w:rPr>
          <w:rFonts w:ascii="Tahoma" w:eastAsia="Tahoma" w:hAnsi="Tahoma" w:cs="Tahoma"/>
          <w:sz w:val="24"/>
          <w:szCs w:val="24"/>
        </w:rPr>
      </w:pPr>
    </w:p>
    <w:p w14:paraId="28F7E72A" w14:textId="77777777" w:rsidR="00AF3F53" w:rsidRPr="009A56DA" w:rsidRDefault="00E20048">
      <w:pPr>
        <w:spacing w:after="0" w:line="240" w:lineRule="auto"/>
        <w:rPr>
          <w:b/>
          <w:sz w:val="24"/>
          <w:szCs w:val="24"/>
        </w:rPr>
      </w:pPr>
      <w:r w:rsidRPr="009A56DA">
        <w:rPr>
          <w:b/>
          <w:sz w:val="24"/>
          <w:szCs w:val="24"/>
        </w:rPr>
        <w:t xml:space="preserve">  b) Time Frame/Duration of the Project</w:t>
      </w:r>
    </w:p>
    <w:p w14:paraId="4CE6F7FA" w14:textId="15A8AF76" w:rsidR="00AF3F53" w:rsidRPr="009A56DA" w:rsidRDefault="00E20048" w:rsidP="00687A72">
      <w:pPr>
        <w:spacing w:before="120" w:after="0" w:line="240" w:lineRule="auto"/>
        <w:jc w:val="both"/>
      </w:pPr>
      <w:r w:rsidRPr="009A56DA">
        <w:t xml:space="preserve">Since pregnant women will be recruited in their second or last trimester, followed to birth and infant mother pair followed 2 months after birth, a total of 18 months will be required for this study, distributed as follows; an initial 4 months will be required for setting up the study (ethical clearance, designing tools and training). Since the last pregnant women will be enrolled at month-6 and a follow up period of 4 months is required, a total of 10 months will be needed for field work. An additional 4 months will be required for report write up and dissemination. </w:t>
      </w:r>
    </w:p>
    <w:p w14:paraId="53C40630" w14:textId="77777777" w:rsidR="00AF3F53" w:rsidRPr="009A56DA" w:rsidRDefault="00AF3F53">
      <w:pPr>
        <w:spacing w:after="0" w:line="240" w:lineRule="auto"/>
        <w:rPr>
          <w:b/>
          <w:sz w:val="24"/>
          <w:szCs w:val="24"/>
        </w:rPr>
      </w:pPr>
    </w:p>
    <w:p w14:paraId="222E4D82" w14:textId="77777777" w:rsidR="00AF3F53" w:rsidRPr="009A56DA" w:rsidRDefault="00E20048">
      <w:pPr>
        <w:spacing w:after="0" w:line="240" w:lineRule="auto"/>
        <w:rPr>
          <w:b/>
          <w:sz w:val="24"/>
          <w:szCs w:val="24"/>
        </w:rPr>
      </w:pPr>
      <w:r w:rsidRPr="009A56DA">
        <w:rPr>
          <w:noProof/>
          <w:lang w:val="en-GB" w:eastAsia="en-GB"/>
        </w:rPr>
        <w:lastRenderedPageBreak/>
        <w:drawing>
          <wp:inline distT="0" distB="0" distL="0" distR="0" wp14:anchorId="5645D702" wp14:editId="50564EE7">
            <wp:extent cx="5943600" cy="3331898"/>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3331898"/>
                    </a:xfrm>
                    <a:prstGeom prst="rect">
                      <a:avLst/>
                    </a:prstGeom>
                    <a:ln/>
                  </pic:spPr>
                </pic:pic>
              </a:graphicData>
            </a:graphic>
          </wp:inline>
        </w:drawing>
      </w:r>
    </w:p>
    <w:p w14:paraId="131FC84B" w14:textId="77777777" w:rsidR="00AF3F53" w:rsidRPr="009A56DA" w:rsidRDefault="00AF3F53">
      <w:pPr>
        <w:spacing w:after="0" w:line="240" w:lineRule="auto"/>
        <w:rPr>
          <w:b/>
          <w:sz w:val="24"/>
          <w:szCs w:val="24"/>
        </w:rPr>
      </w:pPr>
    </w:p>
    <w:p w14:paraId="4553B079" w14:textId="77777777" w:rsidR="00AF3F53" w:rsidRPr="009A56DA" w:rsidRDefault="00E20048">
      <w:pPr>
        <w:numPr>
          <w:ilvl w:val="0"/>
          <w:numId w:val="7"/>
        </w:numPr>
        <w:pBdr>
          <w:top w:val="nil"/>
          <w:left w:val="nil"/>
          <w:bottom w:val="nil"/>
          <w:right w:val="nil"/>
          <w:between w:val="nil"/>
        </w:pBdr>
        <w:tabs>
          <w:tab w:val="left" w:pos="270"/>
        </w:tabs>
        <w:spacing w:after="120" w:line="240" w:lineRule="auto"/>
        <w:contextualSpacing/>
        <w:jc w:val="both"/>
        <w:rPr>
          <w:b/>
          <w:color w:val="000000"/>
          <w:sz w:val="24"/>
          <w:szCs w:val="24"/>
        </w:rPr>
      </w:pPr>
      <w:r w:rsidRPr="009A56DA">
        <w:rPr>
          <w:b/>
          <w:color w:val="000000"/>
          <w:sz w:val="24"/>
          <w:szCs w:val="24"/>
        </w:rPr>
        <w:t>Budget</w:t>
      </w:r>
    </w:p>
    <w:tbl>
      <w:tblPr>
        <w:tblStyle w:val="a0"/>
        <w:tblW w:w="6580" w:type="dxa"/>
        <w:tblInd w:w="-5" w:type="dxa"/>
        <w:tblLayout w:type="fixed"/>
        <w:tblLook w:val="0400" w:firstRow="0" w:lastRow="0" w:firstColumn="0" w:lastColumn="0" w:noHBand="0" w:noVBand="1"/>
      </w:tblPr>
      <w:tblGrid>
        <w:gridCol w:w="5260"/>
        <w:gridCol w:w="1320"/>
      </w:tblGrid>
      <w:tr w:rsidR="00AF3F53" w:rsidRPr="009A56DA" w14:paraId="221A0F7E" w14:textId="77777777">
        <w:trPr>
          <w:trHeight w:val="300"/>
        </w:trPr>
        <w:tc>
          <w:tcPr>
            <w:tcW w:w="52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A5F9E2" w14:textId="77777777" w:rsidR="00AF3F53" w:rsidRPr="009A56DA" w:rsidRDefault="00E20048">
            <w:pPr>
              <w:spacing w:after="0" w:line="240" w:lineRule="auto"/>
              <w:rPr>
                <w:b/>
                <w:color w:val="000000"/>
              </w:rPr>
            </w:pPr>
            <w:r w:rsidRPr="009A56DA">
              <w:rPr>
                <w:b/>
                <w:color w:val="000000"/>
              </w:rPr>
              <w:t>Item</w:t>
            </w:r>
          </w:p>
        </w:tc>
        <w:tc>
          <w:tcPr>
            <w:tcW w:w="1320" w:type="dxa"/>
            <w:tcBorders>
              <w:top w:val="single" w:sz="4" w:space="0" w:color="000000"/>
              <w:left w:val="nil"/>
              <w:bottom w:val="single" w:sz="4" w:space="0" w:color="000000"/>
              <w:right w:val="single" w:sz="4" w:space="0" w:color="000000"/>
            </w:tcBorders>
            <w:shd w:val="clear" w:color="auto" w:fill="auto"/>
            <w:vAlign w:val="bottom"/>
          </w:tcPr>
          <w:p w14:paraId="18702A78" w14:textId="77777777" w:rsidR="00AF3F53" w:rsidRPr="009A56DA" w:rsidRDefault="00E20048">
            <w:pPr>
              <w:spacing w:after="0" w:line="240" w:lineRule="auto"/>
              <w:jc w:val="right"/>
              <w:rPr>
                <w:b/>
                <w:color w:val="000000"/>
              </w:rPr>
            </w:pPr>
            <w:r w:rsidRPr="009A56DA">
              <w:rPr>
                <w:b/>
                <w:color w:val="000000"/>
              </w:rPr>
              <w:t>Total (USD)</w:t>
            </w:r>
          </w:p>
        </w:tc>
      </w:tr>
      <w:tr w:rsidR="00AF3F53" w:rsidRPr="009A56DA" w14:paraId="09E23347" w14:textId="77777777">
        <w:trPr>
          <w:trHeight w:val="300"/>
        </w:trPr>
        <w:tc>
          <w:tcPr>
            <w:tcW w:w="5260" w:type="dxa"/>
            <w:tcBorders>
              <w:top w:val="nil"/>
              <w:left w:val="single" w:sz="4" w:space="0" w:color="000000"/>
              <w:bottom w:val="single" w:sz="4" w:space="0" w:color="000000"/>
              <w:right w:val="single" w:sz="4" w:space="0" w:color="000000"/>
            </w:tcBorders>
            <w:shd w:val="clear" w:color="auto" w:fill="auto"/>
            <w:vAlign w:val="bottom"/>
          </w:tcPr>
          <w:p w14:paraId="5CD11CB4" w14:textId="77777777" w:rsidR="00AF3F53" w:rsidRPr="009A56DA" w:rsidRDefault="00E20048">
            <w:pPr>
              <w:spacing w:after="0" w:line="240" w:lineRule="auto"/>
              <w:rPr>
                <w:color w:val="000000"/>
              </w:rPr>
            </w:pPr>
            <w:r w:rsidRPr="009A56DA">
              <w:rPr>
                <w:color w:val="000000"/>
              </w:rPr>
              <w:t>Personnel</w:t>
            </w:r>
          </w:p>
        </w:tc>
        <w:tc>
          <w:tcPr>
            <w:tcW w:w="1320" w:type="dxa"/>
            <w:tcBorders>
              <w:top w:val="nil"/>
              <w:left w:val="nil"/>
              <w:bottom w:val="single" w:sz="4" w:space="0" w:color="000000"/>
              <w:right w:val="single" w:sz="4" w:space="0" w:color="000000"/>
            </w:tcBorders>
            <w:shd w:val="clear" w:color="auto" w:fill="auto"/>
            <w:vAlign w:val="bottom"/>
          </w:tcPr>
          <w:p w14:paraId="5D470D9D" w14:textId="77777777" w:rsidR="00AF3F53" w:rsidRPr="009A56DA" w:rsidRDefault="00E20048">
            <w:pPr>
              <w:spacing w:after="0" w:line="240" w:lineRule="auto"/>
              <w:jc w:val="right"/>
              <w:rPr>
                <w:color w:val="000000"/>
              </w:rPr>
            </w:pPr>
            <w:r w:rsidRPr="009A56DA">
              <w:rPr>
                <w:color w:val="000000"/>
              </w:rPr>
              <w:t>42697</w:t>
            </w:r>
          </w:p>
        </w:tc>
      </w:tr>
      <w:tr w:rsidR="00AF3F53" w:rsidRPr="009A56DA" w14:paraId="5D7CF1B6" w14:textId="77777777">
        <w:trPr>
          <w:trHeight w:val="300"/>
        </w:trPr>
        <w:tc>
          <w:tcPr>
            <w:tcW w:w="5260" w:type="dxa"/>
            <w:tcBorders>
              <w:top w:val="nil"/>
              <w:left w:val="single" w:sz="4" w:space="0" w:color="000000"/>
              <w:bottom w:val="single" w:sz="4" w:space="0" w:color="000000"/>
              <w:right w:val="single" w:sz="4" w:space="0" w:color="000000"/>
            </w:tcBorders>
            <w:shd w:val="clear" w:color="auto" w:fill="auto"/>
            <w:vAlign w:val="bottom"/>
          </w:tcPr>
          <w:p w14:paraId="45D5EC35" w14:textId="77777777" w:rsidR="00AF3F53" w:rsidRPr="009A56DA" w:rsidRDefault="00E20048">
            <w:pPr>
              <w:spacing w:after="0" w:line="240" w:lineRule="auto"/>
              <w:rPr>
                <w:color w:val="000000"/>
              </w:rPr>
            </w:pPr>
            <w:r w:rsidRPr="009A56DA">
              <w:rPr>
                <w:color w:val="000000"/>
              </w:rPr>
              <w:t xml:space="preserve">Inception meeting for partners and stakeholders </w:t>
            </w:r>
          </w:p>
        </w:tc>
        <w:tc>
          <w:tcPr>
            <w:tcW w:w="1320" w:type="dxa"/>
            <w:tcBorders>
              <w:top w:val="nil"/>
              <w:left w:val="nil"/>
              <w:bottom w:val="single" w:sz="4" w:space="0" w:color="000000"/>
              <w:right w:val="single" w:sz="4" w:space="0" w:color="000000"/>
            </w:tcBorders>
            <w:shd w:val="clear" w:color="auto" w:fill="auto"/>
            <w:vAlign w:val="bottom"/>
          </w:tcPr>
          <w:p w14:paraId="3AD376AF" w14:textId="77777777" w:rsidR="00AF3F53" w:rsidRPr="009A56DA" w:rsidRDefault="00E20048">
            <w:pPr>
              <w:spacing w:after="0" w:line="240" w:lineRule="auto"/>
              <w:jc w:val="right"/>
              <w:rPr>
                <w:color w:val="000000"/>
              </w:rPr>
            </w:pPr>
            <w:r w:rsidRPr="009A56DA">
              <w:rPr>
                <w:color w:val="000000"/>
              </w:rPr>
              <w:t>1000</w:t>
            </w:r>
          </w:p>
        </w:tc>
      </w:tr>
      <w:tr w:rsidR="00AF3F53" w:rsidRPr="009A56DA" w14:paraId="45C8037B" w14:textId="77777777">
        <w:trPr>
          <w:trHeight w:val="300"/>
        </w:trPr>
        <w:tc>
          <w:tcPr>
            <w:tcW w:w="5260" w:type="dxa"/>
            <w:tcBorders>
              <w:top w:val="nil"/>
              <w:left w:val="single" w:sz="4" w:space="0" w:color="000000"/>
              <w:bottom w:val="single" w:sz="4" w:space="0" w:color="000000"/>
              <w:right w:val="single" w:sz="4" w:space="0" w:color="000000"/>
            </w:tcBorders>
            <w:shd w:val="clear" w:color="auto" w:fill="auto"/>
            <w:vAlign w:val="bottom"/>
          </w:tcPr>
          <w:p w14:paraId="1D51C0AA" w14:textId="77777777" w:rsidR="00AF3F53" w:rsidRPr="009A56DA" w:rsidRDefault="00E20048">
            <w:pPr>
              <w:spacing w:after="0" w:line="240" w:lineRule="auto"/>
              <w:rPr>
                <w:color w:val="000000"/>
              </w:rPr>
            </w:pPr>
            <w:r w:rsidRPr="009A56DA">
              <w:rPr>
                <w:color w:val="000000"/>
              </w:rPr>
              <w:t>Ethical Approval costs &amp; Nacosti research permit</w:t>
            </w:r>
          </w:p>
        </w:tc>
        <w:tc>
          <w:tcPr>
            <w:tcW w:w="1320" w:type="dxa"/>
            <w:tcBorders>
              <w:top w:val="nil"/>
              <w:left w:val="nil"/>
              <w:bottom w:val="single" w:sz="4" w:space="0" w:color="000000"/>
              <w:right w:val="single" w:sz="4" w:space="0" w:color="000000"/>
            </w:tcBorders>
            <w:shd w:val="clear" w:color="auto" w:fill="auto"/>
            <w:vAlign w:val="bottom"/>
          </w:tcPr>
          <w:p w14:paraId="645902A9" w14:textId="77777777" w:rsidR="00AF3F53" w:rsidRPr="009A56DA" w:rsidRDefault="00E20048">
            <w:pPr>
              <w:spacing w:after="0" w:line="240" w:lineRule="auto"/>
              <w:jc w:val="right"/>
              <w:rPr>
                <w:color w:val="000000"/>
              </w:rPr>
            </w:pPr>
            <w:r w:rsidRPr="009A56DA">
              <w:rPr>
                <w:color w:val="000000"/>
              </w:rPr>
              <w:t>1700</w:t>
            </w:r>
          </w:p>
        </w:tc>
      </w:tr>
      <w:tr w:rsidR="00AF3F53" w:rsidRPr="009A56DA" w14:paraId="2191BC38" w14:textId="77777777">
        <w:trPr>
          <w:trHeight w:val="300"/>
        </w:trPr>
        <w:tc>
          <w:tcPr>
            <w:tcW w:w="5260" w:type="dxa"/>
            <w:tcBorders>
              <w:top w:val="nil"/>
              <w:left w:val="single" w:sz="4" w:space="0" w:color="000000"/>
              <w:bottom w:val="single" w:sz="4" w:space="0" w:color="000000"/>
              <w:right w:val="single" w:sz="4" w:space="0" w:color="000000"/>
            </w:tcBorders>
            <w:shd w:val="clear" w:color="auto" w:fill="auto"/>
            <w:vAlign w:val="bottom"/>
          </w:tcPr>
          <w:p w14:paraId="253A69B7" w14:textId="77777777" w:rsidR="00AF3F53" w:rsidRPr="009A56DA" w:rsidRDefault="00E20048">
            <w:pPr>
              <w:spacing w:after="0" w:line="240" w:lineRule="auto"/>
              <w:rPr>
                <w:color w:val="000000"/>
              </w:rPr>
            </w:pPr>
            <w:r w:rsidRPr="009A56DA">
              <w:rPr>
                <w:color w:val="000000"/>
              </w:rPr>
              <w:t>CHV allowance</w:t>
            </w:r>
          </w:p>
        </w:tc>
        <w:tc>
          <w:tcPr>
            <w:tcW w:w="1320" w:type="dxa"/>
            <w:tcBorders>
              <w:top w:val="nil"/>
              <w:left w:val="nil"/>
              <w:bottom w:val="single" w:sz="4" w:space="0" w:color="000000"/>
              <w:right w:val="single" w:sz="4" w:space="0" w:color="000000"/>
            </w:tcBorders>
            <w:shd w:val="clear" w:color="auto" w:fill="auto"/>
            <w:vAlign w:val="bottom"/>
          </w:tcPr>
          <w:p w14:paraId="4CF657C3" w14:textId="77777777" w:rsidR="00AF3F53" w:rsidRPr="009A56DA" w:rsidRDefault="00E20048">
            <w:pPr>
              <w:spacing w:after="0" w:line="240" w:lineRule="auto"/>
              <w:jc w:val="right"/>
              <w:rPr>
                <w:color w:val="000000"/>
              </w:rPr>
            </w:pPr>
            <w:r w:rsidRPr="009A56DA">
              <w:rPr>
                <w:color w:val="000000"/>
              </w:rPr>
              <w:t>3200</w:t>
            </w:r>
          </w:p>
        </w:tc>
      </w:tr>
      <w:tr w:rsidR="00AF3F53" w:rsidRPr="009A56DA" w14:paraId="1BF4576A" w14:textId="77777777">
        <w:trPr>
          <w:trHeight w:val="300"/>
        </w:trPr>
        <w:tc>
          <w:tcPr>
            <w:tcW w:w="5260" w:type="dxa"/>
            <w:tcBorders>
              <w:top w:val="nil"/>
              <w:left w:val="single" w:sz="4" w:space="0" w:color="000000"/>
              <w:bottom w:val="single" w:sz="4" w:space="0" w:color="000000"/>
              <w:right w:val="single" w:sz="4" w:space="0" w:color="000000"/>
            </w:tcBorders>
            <w:shd w:val="clear" w:color="auto" w:fill="auto"/>
            <w:vAlign w:val="bottom"/>
          </w:tcPr>
          <w:p w14:paraId="6EEE64CB" w14:textId="77777777" w:rsidR="00AF3F53" w:rsidRPr="009A56DA" w:rsidRDefault="00E20048">
            <w:pPr>
              <w:spacing w:after="0" w:line="240" w:lineRule="auto"/>
              <w:rPr>
                <w:color w:val="000000"/>
              </w:rPr>
            </w:pPr>
            <w:r w:rsidRPr="009A56DA">
              <w:rPr>
                <w:color w:val="000000"/>
              </w:rPr>
              <w:t>Health worker allowance</w:t>
            </w:r>
          </w:p>
        </w:tc>
        <w:tc>
          <w:tcPr>
            <w:tcW w:w="1320" w:type="dxa"/>
            <w:tcBorders>
              <w:top w:val="nil"/>
              <w:left w:val="nil"/>
              <w:bottom w:val="single" w:sz="4" w:space="0" w:color="000000"/>
              <w:right w:val="single" w:sz="4" w:space="0" w:color="000000"/>
            </w:tcBorders>
            <w:shd w:val="clear" w:color="auto" w:fill="auto"/>
            <w:vAlign w:val="bottom"/>
          </w:tcPr>
          <w:p w14:paraId="4A9D9F48" w14:textId="77777777" w:rsidR="00AF3F53" w:rsidRPr="009A56DA" w:rsidRDefault="00E20048">
            <w:pPr>
              <w:spacing w:after="0" w:line="240" w:lineRule="auto"/>
              <w:jc w:val="right"/>
              <w:rPr>
                <w:color w:val="000000"/>
              </w:rPr>
            </w:pPr>
            <w:r w:rsidRPr="009A56DA">
              <w:rPr>
                <w:color w:val="000000"/>
              </w:rPr>
              <w:t>10000</w:t>
            </w:r>
          </w:p>
        </w:tc>
      </w:tr>
      <w:tr w:rsidR="00AF3F53" w:rsidRPr="009A56DA" w14:paraId="7C964C67" w14:textId="77777777">
        <w:trPr>
          <w:trHeight w:val="300"/>
        </w:trPr>
        <w:tc>
          <w:tcPr>
            <w:tcW w:w="5260" w:type="dxa"/>
            <w:tcBorders>
              <w:top w:val="nil"/>
              <w:left w:val="single" w:sz="4" w:space="0" w:color="000000"/>
              <w:bottom w:val="single" w:sz="4" w:space="0" w:color="000000"/>
              <w:right w:val="single" w:sz="4" w:space="0" w:color="000000"/>
            </w:tcBorders>
            <w:shd w:val="clear" w:color="auto" w:fill="auto"/>
            <w:vAlign w:val="bottom"/>
          </w:tcPr>
          <w:p w14:paraId="07CA3136" w14:textId="77777777" w:rsidR="00AF3F53" w:rsidRPr="009A56DA" w:rsidRDefault="00E20048">
            <w:pPr>
              <w:spacing w:after="0" w:line="240" w:lineRule="auto"/>
              <w:rPr>
                <w:color w:val="000000"/>
              </w:rPr>
            </w:pPr>
            <w:r w:rsidRPr="009A56DA">
              <w:rPr>
                <w:color w:val="000000"/>
              </w:rPr>
              <w:t>Ground transport for monitoring implementation</w:t>
            </w:r>
          </w:p>
        </w:tc>
        <w:tc>
          <w:tcPr>
            <w:tcW w:w="1320" w:type="dxa"/>
            <w:tcBorders>
              <w:top w:val="nil"/>
              <w:left w:val="nil"/>
              <w:bottom w:val="single" w:sz="4" w:space="0" w:color="000000"/>
              <w:right w:val="single" w:sz="4" w:space="0" w:color="000000"/>
            </w:tcBorders>
            <w:shd w:val="clear" w:color="auto" w:fill="auto"/>
            <w:vAlign w:val="bottom"/>
          </w:tcPr>
          <w:p w14:paraId="72CEA4D4" w14:textId="77777777" w:rsidR="00AF3F53" w:rsidRPr="009A56DA" w:rsidRDefault="00E20048">
            <w:pPr>
              <w:spacing w:after="0" w:line="240" w:lineRule="auto"/>
              <w:jc w:val="right"/>
              <w:rPr>
                <w:color w:val="000000"/>
              </w:rPr>
            </w:pPr>
            <w:r w:rsidRPr="009A56DA">
              <w:rPr>
                <w:color w:val="000000"/>
              </w:rPr>
              <w:t>1400</w:t>
            </w:r>
          </w:p>
        </w:tc>
      </w:tr>
      <w:tr w:rsidR="00AF3F53" w:rsidRPr="009A56DA" w14:paraId="300206E5" w14:textId="77777777">
        <w:trPr>
          <w:trHeight w:val="300"/>
        </w:trPr>
        <w:tc>
          <w:tcPr>
            <w:tcW w:w="5260" w:type="dxa"/>
            <w:tcBorders>
              <w:top w:val="nil"/>
              <w:left w:val="single" w:sz="4" w:space="0" w:color="000000"/>
              <w:bottom w:val="single" w:sz="4" w:space="0" w:color="000000"/>
              <w:right w:val="single" w:sz="4" w:space="0" w:color="000000"/>
            </w:tcBorders>
            <w:shd w:val="clear" w:color="auto" w:fill="auto"/>
            <w:vAlign w:val="bottom"/>
          </w:tcPr>
          <w:p w14:paraId="2CFE0122" w14:textId="77777777" w:rsidR="00AF3F53" w:rsidRPr="009A56DA" w:rsidRDefault="00E20048">
            <w:pPr>
              <w:spacing w:after="0" w:line="240" w:lineRule="auto"/>
              <w:rPr>
                <w:color w:val="000000"/>
              </w:rPr>
            </w:pPr>
            <w:r w:rsidRPr="009A56DA">
              <w:rPr>
                <w:color w:val="000000"/>
              </w:rPr>
              <w:t>Setting up and management of electronic data system</w:t>
            </w:r>
          </w:p>
        </w:tc>
        <w:tc>
          <w:tcPr>
            <w:tcW w:w="1320" w:type="dxa"/>
            <w:tcBorders>
              <w:top w:val="nil"/>
              <w:left w:val="nil"/>
              <w:bottom w:val="single" w:sz="4" w:space="0" w:color="000000"/>
              <w:right w:val="single" w:sz="4" w:space="0" w:color="000000"/>
            </w:tcBorders>
            <w:shd w:val="clear" w:color="auto" w:fill="auto"/>
            <w:vAlign w:val="bottom"/>
          </w:tcPr>
          <w:p w14:paraId="277E369E" w14:textId="77777777" w:rsidR="00AF3F53" w:rsidRPr="009A56DA" w:rsidRDefault="00E20048">
            <w:pPr>
              <w:spacing w:after="0" w:line="240" w:lineRule="auto"/>
              <w:jc w:val="right"/>
              <w:rPr>
                <w:color w:val="000000"/>
              </w:rPr>
            </w:pPr>
            <w:r w:rsidRPr="009A56DA">
              <w:rPr>
                <w:color w:val="000000"/>
              </w:rPr>
              <w:t>40000</w:t>
            </w:r>
          </w:p>
        </w:tc>
      </w:tr>
      <w:tr w:rsidR="00AF3F53" w:rsidRPr="009A56DA" w14:paraId="48DBBBAC" w14:textId="77777777">
        <w:trPr>
          <w:trHeight w:val="300"/>
        </w:trPr>
        <w:tc>
          <w:tcPr>
            <w:tcW w:w="5260" w:type="dxa"/>
            <w:tcBorders>
              <w:top w:val="nil"/>
              <w:left w:val="single" w:sz="4" w:space="0" w:color="000000"/>
              <w:bottom w:val="single" w:sz="4" w:space="0" w:color="000000"/>
              <w:right w:val="single" w:sz="4" w:space="0" w:color="000000"/>
            </w:tcBorders>
            <w:shd w:val="clear" w:color="auto" w:fill="auto"/>
            <w:vAlign w:val="bottom"/>
          </w:tcPr>
          <w:p w14:paraId="58CF3B35" w14:textId="77777777" w:rsidR="00AF3F53" w:rsidRPr="009A56DA" w:rsidRDefault="00E20048">
            <w:pPr>
              <w:spacing w:after="0" w:line="240" w:lineRule="auto"/>
              <w:rPr>
                <w:color w:val="000000"/>
              </w:rPr>
            </w:pPr>
            <w:r w:rsidRPr="009A56DA">
              <w:rPr>
                <w:color w:val="000000"/>
              </w:rPr>
              <w:t xml:space="preserve">Total Direct </w:t>
            </w:r>
          </w:p>
        </w:tc>
        <w:tc>
          <w:tcPr>
            <w:tcW w:w="1320" w:type="dxa"/>
            <w:tcBorders>
              <w:top w:val="nil"/>
              <w:left w:val="nil"/>
              <w:bottom w:val="single" w:sz="4" w:space="0" w:color="000000"/>
              <w:right w:val="single" w:sz="4" w:space="0" w:color="000000"/>
            </w:tcBorders>
            <w:shd w:val="clear" w:color="auto" w:fill="auto"/>
            <w:vAlign w:val="bottom"/>
          </w:tcPr>
          <w:p w14:paraId="211F4D0D" w14:textId="77777777" w:rsidR="00AF3F53" w:rsidRPr="009A56DA" w:rsidRDefault="00E20048">
            <w:pPr>
              <w:spacing w:after="0" w:line="240" w:lineRule="auto"/>
              <w:jc w:val="right"/>
              <w:rPr>
                <w:color w:val="000000"/>
              </w:rPr>
            </w:pPr>
            <w:r w:rsidRPr="009A56DA">
              <w:rPr>
                <w:color w:val="000000"/>
              </w:rPr>
              <w:t>100000</w:t>
            </w:r>
          </w:p>
        </w:tc>
      </w:tr>
    </w:tbl>
    <w:p w14:paraId="77199F08" w14:textId="77777777" w:rsidR="00504123" w:rsidRPr="009A56DA" w:rsidRDefault="00504123"/>
    <w:p w14:paraId="3E1D06AD" w14:textId="77777777" w:rsidR="00AF3F53" w:rsidRPr="009A56DA" w:rsidRDefault="00E20048">
      <w:pPr>
        <w:pStyle w:val="Heading1"/>
        <w:rPr>
          <w:b/>
          <w:color w:val="000000"/>
          <w:sz w:val="28"/>
          <w:szCs w:val="28"/>
        </w:rPr>
      </w:pPr>
      <w:bookmarkStart w:id="27" w:name="_qsh70q" w:colFirst="0" w:colLast="0"/>
      <w:bookmarkEnd w:id="27"/>
      <w:r w:rsidRPr="009A56DA">
        <w:rPr>
          <w:b/>
          <w:color w:val="000000"/>
          <w:sz w:val="28"/>
          <w:szCs w:val="28"/>
        </w:rPr>
        <w:t>XIII. Appendices and References</w:t>
      </w:r>
    </w:p>
    <w:p w14:paraId="7A95DD3B" w14:textId="77777777" w:rsidR="00AF3F53" w:rsidRPr="009A56DA" w:rsidRDefault="00E20048">
      <w:pPr>
        <w:numPr>
          <w:ilvl w:val="0"/>
          <w:numId w:val="9"/>
        </w:numPr>
        <w:pBdr>
          <w:top w:val="nil"/>
          <w:left w:val="nil"/>
          <w:bottom w:val="nil"/>
          <w:right w:val="nil"/>
          <w:between w:val="nil"/>
        </w:pBdr>
        <w:spacing w:after="0" w:line="264" w:lineRule="auto"/>
        <w:contextualSpacing/>
        <w:rPr>
          <w:b/>
          <w:color w:val="000000"/>
          <w:sz w:val="28"/>
          <w:szCs w:val="28"/>
        </w:rPr>
      </w:pPr>
      <w:r w:rsidRPr="009A56DA">
        <w:rPr>
          <w:b/>
          <w:color w:val="000000"/>
          <w:sz w:val="28"/>
          <w:szCs w:val="28"/>
        </w:rPr>
        <w:t xml:space="preserve">References </w:t>
      </w:r>
    </w:p>
    <w:p w14:paraId="62551E16" w14:textId="77777777" w:rsidR="00AF3F53" w:rsidRPr="009A56DA" w:rsidRDefault="00E20048">
      <w:pPr>
        <w:pBdr>
          <w:top w:val="nil"/>
          <w:left w:val="nil"/>
          <w:bottom w:val="nil"/>
          <w:right w:val="nil"/>
          <w:between w:val="nil"/>
        </w:pBdr>
        <w:spacing w:line="240" w:lineRule="auto"/>
        <w:ind w:left="720" w:hanging="720"/>
        <w:rPr>
          <w:i/>
          <w:color w:val="000000"/>
        </w:rPr>
      </w:pPr>
      <w:r w:rsidRPr="009A56DA">
        <w:rPr>
          <w:color w:val="000000"/>
        </w:rPr>
        <w:t>[1]</w:t>
      </w:r>
      <w:r w:rsidRPr="009A56DA">
        <w:rPr>
          <w:color w:val="000000"/>
        </w:rPr>
        <w:tab/>
      </w:r>
      <w:r w:rsidRPr="009A56DA">
        <w:rPr>
          <w:i/>
          <w:color w:val="000000"/>
        </w:rPr>
        <w:t>United Nations Children’s Fund. Levels &amp; Trends in Child Mortality. World Health Organization, 2017</w:t>
      </w:r>
    </w:p>
    <w:p w14:paraId="7670235B" w14:textId="77777777" w:rsidR="00AF3F53" w:rsidRPr="009A56DA" w:rsidRDefault="00E20048">
      <w:pPr>
        <w:pBdr>
          <w:top w:val="nil"/>
          <w:left w:val="nil"/>
          <w:bottom w:val="nil"/>
          <w:right w:val="nil"/>
          <w:between w:val="nil"/>
        </w:pBdr>
        <w:spacing w:after="0" w:line="240" w:lineRule="auto"/>
        <w:ind w:left="720" w:hanging="720"/>
        <w:rPr>
          <w:i/>
          <w:color w:val="000000"/>
        </w:rPr>
      </w:pPr>
      <w:r w:rsidRPr="009A56DA">
        <w:rPr>
          <w:color w:val="000000"/>
        </w:rPr>
        <w:t>[2]</w:t>
      </w:r>
      <w:r w:rsidRPr="009A56DA">
        <w:rPr>
          <w:color w:val="000000"/>
        </w:rPr>
        <w:tab/>
      </w:r>
      <w:r w:rsidRPr="009A56DA">
        <w:rPr>
          <w:i/>
          <w:color w:val="000000"/>
        </w:rPr>
        <w:t>WHO, UNICEF, World Bank. State of the world’s vaccines and immunization. 3rd edn. Geneva: World Health Organization, 2009.</w:t>
      </w:r>
    </w:p>
    <w:p w14:paraId="47095371" w14:textId="77777777" w:rsidR="00AF3F53" w:rsidRPr="009A56DA" w:rsidRDefault="00E20048">
      <w:pPr>
        <w:pBdr>
          <w:top w:val="nil"/>
          <w:left w:val="nil"/>
          <w:bottom w:val="nil"/>
          <w:right w:val="nil"/>
          <w:between w:val="nil"/>
        </w:pBdr>
        <w:spacing w:after="0" w:line="240" w:lineRule="auto"/>
        <w:ind w:left="720" w:hanging="720"/>
        <w:rPr>
          <w:i/>
          <w:color w:val="000000"/>
        </w:rPr>
      </w:pPr>
      <w:r w:rsidRPr="009A56DA">
        <w:rPr>
          <w:color w:val="000000"/>
        </w:rPr>
        <w:t>[3]</w:t>
      </w:r>
      <w:r w:rsidRPr="009A56DA">
        <w:rPr>
          <w:color w:val="000000"/>
        </w:rPr>
        <w:tab/>
      </w:r>
      <w:r w:rsidRPr="009A56DA">
        <w:rPr>
          <w:i/>
          <w:color w:val="000000"/>
        </w:rPr>
        <w:t>Plotkin S, Orenstein W &amp; Offit P (2008) Vaccines. Elsevier. ISBN number is 978-1-4557-0090-5.</w:t>
      </w:r>
    </w:p>
    <w:p w14:paraId="4BD2F9C8" w14:textId="77777777" w:rsidR="00AF3F53" w:rsidRPr="009A56DA" w:rsidRDefault="00E20048">
      <w:pPr>
        <w:pBdr>
          <w:top w:val="nil"/>
          <w:left w:val="nil"/>
          <w:bottom w:val="nil"/>
          <w:right w:val="nil"/>
          <w:between w:val="nil"/>
        </w:pBdr>
        <w:spacing w:line="240" w:lineRule="auto"/>
        <w:ind w:left="720" w:hanging="720"/>
        <w:rPr>
          <w:i/>
          <w:color w:val="000000"/>
        </w:rPr>
      </w:pPr>
      <w:r w:rsidRPr="009A56DA">
        <w:rPr>
          <w:color w:val="000000"/>
        </w:rPr>
        <w:t>[4]</w:t>
      </w:r>
      <w:r w:rsidRPr="009A56DA">
        <w:rPr>
          <w:color w:val="000000"/>
        </w:rPr>
        <w:tab/>
      </w:r>
      <w:r w:rsidRPr="009A56DA">
        <w:rPr>
          <w:i/>
          <w:color w:val="000000"/>
        </w:rPr>
        <w:t>Kroger AT, Sumaya CV, Pickering LK &amp; Atkinson WL (2011). General recommendations on immunization — recommendations of the Advisory Committee on Immunization Practices (ACIP). Morbidity and Mortality Weekly Report 60, 5.</w:t>
      </w:r>
    </w:p>
    <w:p w14:paraId="77C53E6D"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lastRenderedPageBreak/>
        <w:t>[5]</w:t>
      </w:r>
      <w:r w:rsidRPr="009A56DA">
        <w:rPr>
          <w:color w:val="000000"/>
        </w:rPr>
        <w:tab/>
        <w:t xml:space="preserve">Rainey, J.J., M. Watkins, T.K. Ryman, P. Sandhu, A. Bo, and K. Banerjee, </w:t>
      </w:r>
      <w:r w:rsidRPr="009A56DA">
        <w:rPr>
          <w:i/>
          <w:color w:val="000000"/>
        </w:rPr>
        <w:t>Reasons related to non-vaccination and under-vaccination of children in low and middle income countries: findings from a systematic review of the published literature, 1999–2009.</w:t>
      </w:r>
      <w:r w:rsidRPr="009A56DA">
        <w:rPr>
          <w:color w:val="000000"/>
        </w:rPr>
        <w:t xml:space="preserve"> Vaccine, 2011. </w:t>
      </w:r>
      <w:r w:rsidRPr="009A56DA">
        <w:rPr>
          <w:b/>
          <w:color w:val="000000"/>
        </w:rPr>
        <w:t>29</w:t>
      </w:r>
      <w:r w:rsidRPr="009A56DA">
        <w:rPr>
          <w:color w:val="000000"/>
        </w:rPr>
        <w:t>(46): p. 8215-8221.</w:t>
      </w:r>
    </w:p>
    <w:p w14:paraId="64F8D474"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[6]</w:t>
      </w:r>
      <w:r w:rsidRPr="009A56DA">
        <w:rPr>
          <w:color w:val="000000"/>
        </w:rPr>
        <w:tab/>
        <w:t xml:space="preserve">Favin, M., R. Steinglass, R. Fields, K. Banerjee, and M. Sawhney, </w:t>
      </w:r>
      <w:r w:rsidRPr="009A56DA">
        <w:rPr>
          <w:i/>
          <w:color w:val="000000"/>
        </w:rPr>
        <w:t>Why children are not vaccinated: a review of the grey literature.</w:t>
      </w:r>
      <w:r w:rsidRPr="009A56DA">
        <w:rPr>
          <w:color w:val="000000"/>
        </w:rPr>
        <w:t xml:space="preserve"> International health, 2012. </w:t>
      </w:r>
      <w:r w:rsidRPr="009A56DA">
        <w:rPr>
          <w:b/>
          <w:color w:val="000000"/>
        </w:rPr>
        <w:t>4</w:t>
      </w:r>
      <w:r w:rsidRPr="009A56DA">
        <w:rPr>
          <w:color w:val="000000"/>
        </w:rPr>
        <w:t>(4): p. 229-238.</w:t>
      </w:r>
    </w:p>
    <w:p w14:paraId="38FB65E5"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[7]</w:t>
      </w:r>
      <w:r w:rsidRPr="009A56DA">
        <w:rPr>
          <w:color w:val="000000"/>
        </w:rPr>
        <w:tab/>
        <w:t xml:space="preserve">Andre, F.E., R. Booy, H.L. Bock, J. Clemens, S.K. Datta, T.J. John, et al., </w:t>
      </w:r>
      <w:r w:rsidRPr="009A56DA">
        <w:rPr>
          <w:i/>
          <w:color w:val="000000"/>
        </w:rPr>
        <w:t>Vaccination greatly reduces disease, disability, death and inequity worldwide.</w:t>
      </w:r>
      <w:r w:rsidRPr="009A56DA">
        <w:rPr>
          <w:color w:val="000000"/>
        </w:rPr>
        <w:t xml:space="preserve"> Bulletin of the World Health Organization, 2008. </w:t>
      </w:r>
      <w:r w:rsidRPr="009A56DA">
        <w:rPr>
          <w:b/>
          <w:color w:val="000000"/>
        </w:rPr>
        <w:t>86</w:t>
      </w:r>
      <w:r w:rsidRPr="009A56DA">
        <w:rPr>
          <w:color w:val="000000"/>
        </w:rPr>
        <w:t>(2): p. 140-146.</w:t>
      </w:r>
    </w:p>
    <w:p w14:paraId="1F80D06B"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[8]</w:t>
      </w:r>
      <w:r w:rsidRPr="009A56DA">
        <w:rPr>
          <w:color w:val="000000"/>
        </w:rPr>
        <w:tab/>
        <w:t xml:space="preserve">Scott, S., A. Odutola, G. Mackenzie, T. Fulford, M.O. Afolabi, Y.L. Jallow, et al., </w:t>
      </w:r>
      <w:r w:rsidRPr="009A56DA">
        <w:rPr>
          <w:i/>
          <w:color w:val="000000"/>
        </w:rPr>
        <w:t>Coverage and timing of children's vaccination: an evaluation of the expanded programme on immunisation in The Gambia.</w:t>
      </w:r>
      <w:r w:rsidRPr="009A56DA">
        <w:rPr>
          <w:color w:val="000000"/>
        </w:rPr>
        <w:t xml:space="preserve"> PloS one, 2014. </w:t>
      </w:r>
      <w:r w:rsidRPr="009A56DA">
        <w:rPr>
          <w:b/>
          <w:color w:val="000000"/>
        </w:rPr>
        <w:t>9</w:t>
      </w:r>
      <w:r w:rsidRPr="009A56DA">
        <w:rPr>
          <w:color w:val="000000"/>
        </w:rPr>
        <w:t>(9): p. e107280.</w:t>
      </w:r>
    </w:p>
    <w:p w14:paraId="2BC864A0"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[9]</w:t>
      </w:r>
      <w:r w:rsidRPr="009A56DA">
        <w:rPr>
          <w:color w:val="000000"/>
        </w:rPr>
        <w:tab/>
        <w:t xml:space="preserve">Gram, L., S. Soremekun, A. ten Asbroek, A. Manu, M. O'leary, Z. Hill, et al., </w:t>
      </w:r>
      <w:r w:rsidRPr="009A56DA">
        <w:rPr>
          <w:i/>
          <w:color w:val="000000"/>
        </w:rPr>
        <w:t>Socio‐economic determinants and inequities in coverage and timeliness of early childhood immunisation in rural Ghana.</w:t>
      </w:r>
      <w:r w:rsidRPr="009A56DA">
        <w:rPr>
          <w:color w:val="000000"/>
        </w:rPr>
        <w:t xml:space="preserve"> Tropical medicine &amp; international health, 2014. </w:t>
      </w:r>
      <w:r w:rsidRPr="009A56DA">
        <w:rPr>
          <w:b/>
          <w:color w:val="000000"/>
        </w:rPr>
        <w:t>19</w:t>
      </w:r>
      <w:r w:rsidRPr="009A56DA">
        <w:rPr>
          <w:color w:val="000000"/>
        </w:rPr>
        <w:t>(7): p. 802-811.</w:t>
      </w:r>
    </w:p>
    <w:p w14:paraId="41C91A1A"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[10]</w:t>
      </w:r>
      <w:r w:rsidRPr="009A56DA">
        <w:rPr>
          <w:color w:val="000000"/>
        </w:rPr>
        <w:tab/>
        <w:t xml:space="preserve">Mutua, M.K., E. Kimani-Murage, N. Ngomi, H. Ravn, P. Mwaniki, and E. Echoka, </w:t>
      </w:r>
      <w:r w:rsidRPr="009A56DA">
        <w:rPr>
          <w:i/>
          <w:color w:val="000000"/>
        </w:rPr>
        <w:t>Fully immunized child: coverage, timing and sequencing of routine immunization in an urban poor settlement in Nairobi, Kenya.</w:t>
      </w:r>
      <w:r w:rsidRPr="009A56DA">
        <w:rPr>
          <w:color w:val="000000"/>
        </w:rPr>
        <w:t xml:space="preserve"> Tropical medicine and health, 2016. </w:t>
      </w:r>
      <w:r w:rsidRPr="009A56DA">
        <w:rPr>
          <w:b/>
          <w:color w:val="000000"/>
        </w:rPr>
        <w:t>44</w:t>
      </w:r>
      <w:r w:rsidRPr="009A56DA">
        <w:rPr>
          <w:color w:val="000000"/>
        </w:rPr>
        <w:t>(1): p. 13.</w:t>
      </w:r>
    </w:p>
    <w:p w14:paraId="5AFB3854"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[11]</w:t>
      </w:r>
      <w:r w:rsidRPr="009A56DA">
        <w:rPr>
          <w:color w:val="000000"/>
        </w:rPr>
        <w:tab/>
        <w:t xml:space="preserve">Akmatov, M.K., M. Kretzschmar, A. Krämer, and R.T. Mikolajczyk, </w:t>
      </w:r>
      <w:r w:rsidRPr="009A56DA">
        <w:rPr>
          <w:i/>
          <w:color w:val="000000"/>
        </w:rPr>
        <w:t>Timeliness of vaccination and its effects on fraction of vaccinated population.</w:t>
      </w:r>
      <w:r w:rsidRPr="009A56DA">
        <w:rPr>
          <w:color w:val="000000"/>
        </w:rPr>
        <w:t xml:space="preserve"> Vaccine, 2008. </w:t>
      </w:r>
      <w:r w:rsidRPr="009A56DA">
        <w:rPr>
          <w:b/>
          <w:color w:val="000000"/>
        </w:rPr>
        <w:t>26</w:t>
      </w:r>
      <w:r w:rsidRPr="009A56DA">
        <w:rPr>
          <w:color w:val="000000"/>
        </w:rPr>
        <w:t>(31): p. 3805-3811.</w:t>
      </w:r>
    </w:p>
    <w:p w14:paraId="72ACC308"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[12]</w:t>
      </w:r>
      <w:r w:rsidRPr="009A56DA">
        <w:rPr>
          <w:color w:val="000000"/>
        </w:rPr>
        <w:tab/>
        <w:t xml:space="preserve">Heininger, U. and M. Zuberbühler, </w:t>
      </w:r>
      <w:r w:rsidRPr="009A56DA">
        <w:rPr>
          <w:i/>
          <w:color w:val="000000"/>
        </w:rPr>
        <w:t>Immunization rates and timely administration in pre-school and school-aged children.</w:t>
      </w:r>
      <w:r w:rsidRPr="009A56DA">
        <w:rPr>
          <w:color w:val="000000"/>
        </w:rPr>
        <w:t xml:space="preserve"> European journal of pediatrics, 2006. </w:t>
      </w:r>
      <w:r w:rsidRPr="009A56DA">
        <w:rPr>
          <w:b/>
          <w:color w:val="000000"/>
        </w:rPr>
        <w:t>165</w:t>
      </w:r>
      <w:r w:rsidRPr="009A56DA">
        <w:rPr>
          <w:color w:val="000000"/>
        </w:rPr>
        <w:t>(2): p. 124-129.</w:t>
      </w:r>
    </w:p>
    <w:p w14:paraId="68C305E9"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[13]</w:t>
      </w:r>
      <w:r w:rsidRPr="009A56DA">
        <w:rPr>
          <w:color w:val="000000"/>
        </w:rPr>
        <w:tab/>
        <w:t>WHO (2015. Global Health Observatory (GHO) data 2015. http:// www.who.int/gho/immunization/en/.</w:t>
      </w:r>
    </w:p>
    <w:p w14:paraId="1CC6AD2A"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[14]</w:t>
      </w:r>
      <w:r w:rsidRPr="009A56DA">
        <w:rPr>
          <w:color w:val="000000"/>
        </w:rPr>
        <w:tab/>
        <w:t xml:space="preserve">Clark, A. and C. Sanderson, </w:t>
      </w:r>
      <w:r w:rsidRPr="009A56DA">
        <w:rPr>
          <w:i/>
          <w:color w:val="000000"/>
        </w:rPr>
        <w:t>Timing of children's vaccinations in 45 low-income and middle-income countries: an analysis of survey data.</w:t>
      </w:r>
      <w:r w:rsidRPr="009A56DA">
        <w:rPr>
          <w:color w:val="000000"/>
        </w:rPr>
        <w:t xml:space="preserve"> The Lancet, 2009. </w:t>
      </w:r>
      <w:r w:rsidRPr="009A56DA">
        <w:rPr>
          <w:b/>
          <w:color w:val="000000"/>
        </w:rPr>
        <w:t>373</w:t>
      </w:r>
      <w:r w:rsidRPr="009A56DA">
        <w:rPr>
          <w:color w:val="000000"/>
        </w:rPr>
        <w:t>(9674): p. 1543-1549.</w:t>
      </w:r>
    </w:p>
    <w:p w14:paraId="0CEDDEDB"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[15]</w:t>
      </w:r>
      <w:r w:rsidRPr="009A56DA">
        <w:rPr>
          <w:color w:val="000000"/>
        </w:rPr>
        <w:tab/>
        <w:t xml:space="preserve">Luman, E.T., L.E. Barker, K.M. Shaw, M.M. McCauley, J.W. Buehler, and L.K. Pickering, </w:t>
      </w:r>
      <w:r w:rsidRPr="009A56DA">
        <w:rPr>
          <w:i/>
          <w:color w:val="000000"/>
        </w:rPr>
        <w:t>Timeliness of childhood vaccinations in the United States: days undervaccinated and number of vaccines delayed.</w:t>
      </w:r>
      <w:r w:rsidRPr="009A56DA">
        <w:rPr>
          <w:color w:val="000000"/>
        </w:rPr>
        <w:t xml:space="preserve"> Jama, 2005. </w:t>
      </w:r>
      <w:r w:rsidRPr="009A56DA">
        <w:rPr>
          <w:b/>
          <w:color w:val="000000"/>
        </w:rPr>
        <w:t>293</w:t>
      </w:r>
      <w:r w:rsidRPr="009A56DA">
        <w:rPr>
          <w:color w:val="000000"/>
        </w:rPr>
        <w:t>(10): p. 1204-1211.</w:t>
      </w:r>
    </w:p>
    <w:p w14:paraId="1C8B2CAF"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[16]</w:t>
      </w:r>
      <w:r w:rsidRPr="009A56DA">
        <w:rPr>
          <w:color w:val="000000"/>
        </w:rPr>
        <w:tab/>
        <w:t xml:space="preserve">Fadnes, L.T., V. Nankabirwa, H. Sommerfelt, T. Tylleskär, J.K. Tumwine, I.M. Engebretsen, et al., </w:t>
      </w:r>
      <w:r w:rsidRPr="009A56DA">
        <w:rPr>
          <w:i/>
          <w:color w:val="000000"/>
        </w:rPr>
        <w:t>Is vaccination coverage a good indicator of age-appropriate vaccination? A prospective study from Uganda.</w:t>
      </w:r>
      <w:r w:rsidRPr="009A56DA">
        <w:rPr>
          <w:color w:val="000000"/>
        </w:rPr>
        <w:t xml:space="preserve"> Vaccine, 2011. </w:t>
      </w:r>
      <w:r w:rsidRPr="009A56DA">
        <w:rPr>
          <w:b/>
          <w:color w:val="000000"/>
        </w:rPr>
        <w:t>29</w:t>
      </w:r>
      <w:r w:rsidRPr="009A56DA">
        <w:rPr>
          <w:color w:val="000000"/>
        </w:rPr>
        <w:t>(19): p. 3564-3570.</w:t>
      </w:r>
    </w:p>
    <w:p w14:paraId="223E0719"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[17]</w:t>
      </w:r>
      <w:r w:rsidRPr="009A56DA">
        <w:rPr>
          <w:color w:val="000000"/>
        </w:rPr>
        <w:tab/>
        <w:t xml:space="preserve">Babirye, J.N., I.M. Engebretsen, F. Makumbi, L.T. Fadnes, H. Wamani, T. Tylleskar, et al., </w:t>
      </w:r>
      <w:r w:rsidRPr="009A56DA">
        <w:rPr>
          <w:i/>
          <w:color w:val="000000"/>
        </w:rPr>
        <w:t>Timeliness of childhood vaccinations in Kampala Uganda: a community-based cross-sectional study.</w:t>
      </w:r>
      <w:r w:rsidRPr="009A56DA">
        <w:rPr>
          <w:color w:val="000000"/>
        </w:rPr>
        <w:t xml:space="preserve"> PloS one, 2012. </w:t>
      </w:r>
      <w:r w:rsidRPr="009A56DA">
        <w:rPr>
          <w:b/>
          <w:color w:val="000000"/>
        </w:rPr>
        <w:t>7</w:t>
      </w:r>
      <w:r w:rsidRPr="009A56DA">
        <w:rPr>
          <w:color w:val="000000"/>
        </w:rPr>
        <w:t>(4): p. e35432.</w:t>
      </w:r>
    </w:p>
    <w:p w14:paraId="40A31589"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[18]</w:t>
      </w:r>
      <w:r w:rsidRPr="009A56DA">
        <w:rPr>
          <w:color w:val="000000"/>
        </w:rPr>
        <w:tab/>
        <w:t xml:space="preserve">Masters, N.B., A.L. Wagner, B.F. Carlson, and M.L. Boulton, </w:t>
      </w:r>
      <w:r w:rsidRPr="009A56DA">
        <w:rPr>
          <w:i/>
          <w:color w:val="000000"/>
        </w:rPr>
        <w:t>Vaccination timeliness and co-administration among Kenyan children.</w:t>
      </w:r>
      <w:r w:rsidRPr="009A56DA">
        <w:rPr>
          <w:color w:val="000000"/>
        </w:rPr>
        <w:t xml:space="preserve"> Vaccine, 2018. </w:t>
      </w:r>
      <w:r w:rsidRPr="009A56DA">
        <w:rPr>
          <w:b/>
          <w:color w:val="000000"/>
        </w:rPr>
        <w:t>36</w:t>
      </w:r>
      <w:r w:rsidRPr="009A56DA">
        <w:rPr>
          <w:color w:val="000000"/>
        </w:rPr>
        <w:t>(11): p. 1353-1360.</w:t>
      </w:r>
    </w:p>
    <w:p w14:paraId="4B7DFF3D"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[19]</w:t>
      </w:r>
      <w:r w:rsidRPr="009A56DA">
        <w:rPr>
          <w:color w:val="000000"/>
        </w:rPr>
        <w:tab/>
        <w:t>World Health Organization. BCG vaccine. Wkly Epidemiol Rec2004;79(4):25–40.</w:t>
      </w:r>
    </w:p>
    <w:p w14:paraId="3BB5922A"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[20]</w:t>
      </w:r>
      <w:r w:rsidRPr="009A56DA">
        <w:rPr>
          <w:color w:val="000000"/>
        </w:rPr>
        <w:tab/>
        <w:t>World Health Organization. Polio vaccines: WHO position paper. Wkly Epi-demiol Rec 2014;9(89):73–92.[4] World Health Organization.</w:t>
      </w:r>
    </w:p>
    <w:p w14:paraId="3FB52847"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[21]</w:t>
      </w:r>
      <w:r w:rsidRPr="009A56DA">
        <w:rPr>
          <w:color w:val="000000"/>
        </w:rPr>
        <w:tab/>
        <w:t>World Health Organization. Hepatitis B vaccines: WHO position paper. WklyEpidemiol Rec 2009;28(3):589–90.</w:t>
      </w:r>
    </w:p>
    <w:p w14:paraId="23D70F86"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[22]</w:t>
      </w:r>
      <w:r w:rsidRPr="009A56DA">
        <w:rPr>
          <w:color w:val="000000"/>
        </w:rPr>
        <w:tab/>
        <w:t xml:space="preserve">Colditz, G.A., C.S. Berkey, F. Mosteller, T.F. Brewer, M.E. Wilson, E. Burdick, et al., </w:t>
      </w:r>
      <w:r w:rsidRPr="009A56DA">
        <w:rPr>
          <w:i/>
          <w:color w:val="000000"/>
        </w:rPr>
        <w:t>The efficacy of bacillus Calmette-Guerin vaccination of newborns and infants in the prevention of tuberculosis: meta-analyses of the published literature.</w:t>
      </w:r>
      <w:r w:rsidRPr="009A56DA">
        <w:rPr>
          <w:color w:val="000000"/>
        </w:rPr>
        <w:t xml:space="preserve"> Pediatrics, 1995. </w:t>
      </w:r>
      <w:r w:rsidRPr="009A56DA">
        <w:rPr>
          <w:b/>
          <w:color w:val="000000"/>
        </w:rPr>
        <w:t>96</w:t>
      </w:r>
      <w:r w:rsidRPr="009A56DA">
        <w:rPr>
          <w:color w:val="000000"/>
        </w:rPr>
        <w:t>(1): p. 29-35.</w:t>
      </w:r>
    </w:p>
    <w:p w14:paraId="0C7B5875"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[23]</w:t>
      </w:r>
      <w:r w:rsidRPr="009A56DA">
        <w:rPr>
          <w:color w:val="000000"/>
        </w:rPr>
        <w:tab/>
        <w:t xml:space="preserve">Bodo, B. and O.O. Malande, </w:t>
      </w:r>
      <w:r w:rsidRPr="009A56DA">
        <w:rPr>
          <w:i/>
          <w:color w:val="000000"/>
        </w:rPr>
        <w:t>Delayed introduction of the birth dose of Hepatitis B vaccine in EPI programs in East Africa: a missed opportunity for combating vertical transmission of Hepatitis B.</w:t>
      </w:r>
      <w:r w:rsidRPr="009A56DA">
        <w:rPr>
          <w:color w:val="000000"/>
        </w:rPr>
        <w:t xml:space="preserve"> The Pan African medical journal, 2017. </w:t>
      </w:r>
      <w:r w:rsidRPr="009A56DA">
        <w:rPr>
          <w:b/>
          <w:color w:val="000000"/>
        </w:rPr>
        <w:t>27</w:t>
      </w:r>
      <w:r w:rsidRPr="009A56DA">
        <w:rPr>
          <w:color w:val="000000"/>
        </w:rPr>
        <w:t>(Suppl 3).</w:t>
      </w:r>
    </w:p>
    <w:p w14:paraId="72FD2CA2"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lastRenderedPageBreak/>
        <w:t>[24]</w:t>
      </w:r>
      <w:r w:rsidRPr="009A56DA">
        <w:rPr>
          <w:color w:val="000000"/>
        </w:rPr>
        <w:tab/>
        <w:t xml:space="preserve">Trunz, B.B., P. Fine, and C. Dye, </w:t>
      </w:r>
      <w:r w:rsidRPr="009A56DA">
        <w:rPr>
          <w:i/>
          <w:color w:val="000000"/>
        </w:rPr>
        <w:t>Effect of BCG vaccination on childhood tuberculous meningitis and miliary tuberculosis worldwide: a meta-analysis and assessment of cost-effectiveness.</w:t>
      </w:r>
      <w:r w:rsidRPr="009A56DA">
        <w:rPr>
          <w:color w:val="000000"/>
        </w:rPr>
        <w:t xml:space="preserve"> The Lancet, 2006. </w:t>
      </w:r>
      <w:r w:rsidRPr="009A56DA">
        <w:rPr>
          <w:b/>
          <w:color w:val="000000"/>
        </w:rPr>
        <w:t>367</w:t>
      </w:r>
      <w:r w:rsidRPr="009A56DA">
        <w:rPr>
          <w:color w:val="000000"/>
        </w:rPr>
        <w:t>(9517): p. 1173-1180.</w:t>
      </w:r>
    </w:p>
    <w:p w14:paraId="75A64287"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[25]</w:t>
      </w:r>
      <w:r w:rsidRPr="009A56DA">
        <w:rPr>
          <w:color w:val="000000"/>
        </w:rPr>
        <w:tab/>
        <w:t xml:space="preserve">De-xiang, D., H. Xi-Min, L. Wan-Jun, L. Jin-shen, J. Yu-cai, T. Shun-ge, et al., </w:t>
      </w:r>
      <w:r w:rsidRPr="009A56DA">
        <w:rPr>
          <w:i/>
          <w:color w:val="000000"/>
        </w:rPr>
        <w:t>Immunization of neonates with trivalent oral poliomyelitis vaccine (Sabin).</w:t>
      </w:r>
      <w:r w:rsidRPr="009A56DA">
        <w:rPr>
          <w:color w:val="000000"/>
        </w:rPr>
        <w:t xml:space="preserve"> Bulletin of the World Health Organization, 1986. </w:t>
      </w:r>
      <w:r w:rsidRPr="009A56DA">
        <w:rPr>
          <w:b/>
          <w:color w:val="000000"/>
        </w:rPr>
        <w:t>64</w:t>
      </w:r>
      <w:r w:rsidRPr="009A56DA">
        <w:rPr>
          <w:color w:val="000000"/>
        </w:rPr>
        <w:t>(6): p. 853.</w:t>
      </w:r>
    </w:p>
    <w:p w14:paraId="065322AB"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[26]</w:t>
      </w:r>
      <w:r w:rsidRPr="009A56DA">
        <w:rPr>
          <w:color w:val="000000"/>
        </w:rPr>
        <w:tab/>
        <w:t xml:space="preserve">John, T.J., </w:t>
      </w:r>
      <w:r w:rsidRPr="009A56DA">
        <w:rPr>
          <w:i/>
          <w:color w:val="000000"/>
        </w:rPr>
        <w:t>Immune response of neonates to oral poliomyelitis vaccine.</w:t>
      </w:r>
      <w:r w:rsidRPr="009A56DA">
        <w:rPr>
          <w:color w:val="000000"/>
        </w:rPr>
        <w:t xml:space="preserve"> British medical journal (Clinical research ed.), 1984. </w:t>
      </w:r>
      <w:r w:rsidRPr="009A56DA">
        <w:rPr>
          <w:b/>
          <w:color w:val="000000"/>
        </w:rPr>
        <w:t>289</w:t>
      </w:r>
      <w:r w:rsidRPr="009A56DA">
        <w:rPr>
          <w:color w:val="000000"/>
        </w:rPr>
        <w:t>(6449): p. 881.</w:t>
      </w:r>
    </w:p>
    <w:p w14:paraId="3E65A3B5"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[27]</w:t>
      </w:r>
      <w:r w:rsidRPr="009A56DA">
        <w:rPr>
          <w:color w:val="000000"/>
        </w:rPr>
        <w:tab/>
        <w:t xml:space="preserve">Hipgrave, D.B., J.E. Maynard, and B.-A. Biggs, </w:t>
      </w:r>
      <w:r w:rsidRPr="009A56DA">
        <w:rPr>
          <w:i/>
          <w:color w:val="000000"/>
        </w:rPr>
        <w:t>Improving birth dose coverage of hepatitis B vaccine.</w:t>
      </w:r>
      <w:r w:rsidRPr="009A56DA">
        <w:rPr>
          <w:color w:val="000000"/>
        </w:rPr>
        <w:t xml:space="preserve"> Bulletin of the World Health Organization, 2006. </w:t>
      </w:r>
      <w:r w:rsidRPr="009A56DA">
        <w:rPr>
          <w:b/>
          <w:color w:val="000000"/>
        </w:rPr>
        <w:t>84</w:t>
      </w:r>
      <w:r w:rsidRPr="009A56DA">
        <w:rPr>
          <w:color w:val="000000"/>
        </w:rPr>
        <w:t>(1): p. 65-71.</w:t>
      </w:r>
    </w:p>
    <w:p w14:paraId="5C462953"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[28]</w:t>
      </w:r>
      <w:r w:rsidRPr="009A56DA">
        <w:rPr>
          <w:color w:val="000000"/>
        </w:rPr>
        <w:tab/>
        <w:t xml:space="preserve">Organization, W.H., </w:t>
      </w:r>
      <w:r w:rsidRPr="009A56DA">
        <w:rPr>
          <w:i/>
          <w:color w:val="000000"/>
        </w:rPr>
        <w:t>Fifty-eighth World Health Assembly Report, 16-25 May 2005.</w:t>
      </w:r>
      <w:r w:rsidRPr="009A56DA">
        <w:rPr>
          <w:color w:val="000000"/>
        </w:rPr>
        <w:t xml:space="preserve"> Geneva: WHO, 2005.</w:t>
      </w:r>
    </w:p>
    <w:p w14:paraId="0AAC3570"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[29]</w:t>
      </w:r>
      <w:r w:rsidRPr="009A56DA">
        <w:rPr>
          <w:color w:val="000000"/>
        </w:rPr>
        <w:tab/>
        <w:t xml:space="preserve">Papania, M. and L. Rodewald, </w:t>
      </w:r>
      <w:r w:rsidRPr="009A56DA">
        <w:rPr>
          <w:i/>
          <w:color w:val="000000"/>
        </w:rPr>
        <w:t>For better immunisation coverage, measure coverage better.</w:t>
      </w:r>
      <w:r w:rsidRPr="009A56DA">
        <w:rPr>
          <w:color w:val="000000"/>
        </w:rPr>
        <w:t xml:space="preserve"> The Lancet, 2006. </w:t>
      </w:r>
      <w:r w:rsidRPr="009A56DA">
        <w:rPr>
          <w:b/>
          <w:color w:val="000000"/>
        </w:rPr>
        <w:t>367</w:t>
      </w:r>
      <w:r w:rsidRPr="009A56DA">
        <w:rPr>
          <w:color w:val="000000"/>
        </w:rPr>
        <w:t>(9515): p. 965-966.</w:t>
      </w:r>
    </w:p>
    <w:p w14:paraId="0B8ACCD4"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[30]</w:t>
      </w:r>
      <w:r w:rsidRPr="009A56DA">
        <w:rPr>
          <w:color w:val="000000"/>
        </w:rPr>
        <w:tab/>
        <w:t xml:space="preserve">Danovaro-Holliday, M.C., J.K. Andrus, and C. Ruiz-Matus, </w:t>
      </w:r>
      <w:r w:rsidRPr="009A56DA">
        <w:rPr>
          <w:i/>
          <w:color w:val="000000"/>
        </w:rPr>
        <w:t>RE: The Australian childhood immunization register—A model for universal immunization registers?</w:t>
      </w:r>
      <w:r w:rsidRPr="009A56DA">
        <w:rPr>
          <w:color w:val="000000"/>
        </w:rPr>
        <w:t xml:space="preserve"> Vaccine, 2009. </w:t>
      </w:r>
      <w:r w:rsidRPr="009A56DA">
        <w:rPr>
          <w:b/>
          <w:color w:val="000000"/>
        </w:rPr>
        <w:t>27</w:t>
      </w:r>
      <w:r w:rsidRPr="009A56DA">
        <w:rPr>
          <w:color w:val="000000"/>
        </w:rPr>
        <w:t>(48): p. 6652-6653.</w:t>
      </w:r>
    </w:p>
    <w:p w14:paraId="66E08AE6"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[31]</w:t>
      </w:r>
      <w:r w:rsidRPr="009A56DA">
        <w:rPr>
          <w:color w:val="000000"/>
        </w:rPr>
        <w:tab/>
        <w:t xml:space="preserve">Gibson, D.G., B. Ochieng, E.W. Kagucia, J. Were, K. Hayford, L.H. Moulton, et al., </w:t>
      </w:r>
      <w:r w:rsidRPr="009A56DA">
        <w:rPr>
          <w:i/>
          <w:color w:val="000000"/>
        </w:rPr>
        <w:t>Mobile phone-delivered reminders and incentives to improve childhood immunisation coverage and timeliness in Kenya (M-SIMU): a cluster randomised controlled trial.</w:t>
      </w:r>
      <w:r w:rsidRPr="009A56DA">
        <w:rPr>
          <w:color w:val="000000"/>
        </w:rPr>
        <w:t xml:space="preserve"> The Lancet Global Health, 2017. </w:t>
      </w:r>
      <w:r w:rsidRPr="009A56DA">
        <w:rPr>
          <w:b/>
          <w:color w:val="000000"/>
        </w:rPr>
        <w:t>5</w:t>
      </w:r>
      <w:r w:rsidRPr="009A56DA">
        <w:rPr>
          <w:color w:val="000000"/>
        </w:rPr>
        <w:t>(4): p. e428-e438.</w:t>
      </w:r>
    </w:p>
    <w:p w14:paraId="4F3D8800"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[32]</w:t>
      </w:r>
      <w:r w:rsidRPr="009A56DA">
        <w:rPr>
          <w:color w:val="000000"/>
        </w:rPr>
        <w:tab/>
        <w:t xml:space="preserve">Asiki, G., R. Newton, L. Kibirige, A. Kamali, L. Marions, and L. Smedman, </w:t>
      </w:r>
      <w:r w:rsidRPr="009A56DA">
        <w:rPr>
          <w:i/>
          <w:color w:val="000000"/>
        </w:rPr>
        <w:t>Feasibility of using smartphones by village health workers for pregnancy registration and effectiveness of mobile phone text messages on reduction of homebirths in rural Uganda.</w:t>
      </w:r>
      <w:r w:rsidRPr="009A56DA">
        <w:rPr>
          <w:color w:val="000000"/>
        </w:rPr>
        <w:t xml:space="preserve"> PloS one, 2018. </w:t>
      </w:r>
      <w:r w:rsidRPr="009A56DA">
        <w:rPr>
          <w:b/>
          <w:color w:val="000000"/>
        </w:rPr>
        <w:t>13</w:t>
      </w:r>
      <w:r w:rsidRPr="009A56DA">
        <w:rPr>
          <w:color w:val="000000"/>
        </w:rPr>
        <w:t>(6): p. e0198653.</w:t>
      </w:r>
    </w:p>
    <w:p w14:paraId="069737CD"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[33]</w:t>
      </w:r>
      <w:r w:rsidRPr="009A56DA">
        <w:rPr>
          <w:color w:val="000000"/>
        </w:rPr>
        <w:tab/>
        <w:t xml:space="preserve">Lewin, S.A., J. Dick, P. Pond, M. Zwarenstein, G. Aja, B. van Wyk, et al., </w:t>
      </w:r>
      <w:r w:rsidRPr="009A56DA">
        <w:rPr>
          <w:i/>
          <w:color w:val="000000"/>
        </w:rPr>
        <w:t>Lay health workers in primary and community health care.</w:t>
      </w:r>
      <w:r w:rsidRPr="009A56DA">
        <w:rPr>
          <w:color w:val="000000"/>
        </w:rPr>
        <w:t xml:space="preserve"> Cochrane Database Syst Rev, 2005(1): p. CD004015.</w:t>
      </w:r>
    </w:p>
    <w:p w14:paraId="7244781B"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[34]</w:t>
      </w:r>
      <w:r w:rsidRPr="009A56DA">
        <w:rPr>
          <w:color w:val="000000"/>
        </w:rPr>
        <w:tab/>
        <w:t xml:space="preserve">Haines, A., D. Sanders, U. Lehmann, A.K. Rowe, J.E. Lawn, S. Jan, et al., </w:t>
      </w:r>
      <w:r w:rsidRPr="009A56DA">
        <w:rPr>
          <w:i/>
          <w:color w:val="000000"/>
        </w:rPr>
        <w:t>Achieving child survival goals: potential contribution of community health workers.</w:t>
      </w:r>
      <w:r w:rsidRPr="009A56DA">
        <w:rPr>
          <w:color w:val="000000"/>
        </w:rPr>
        <w:t xml:space="preserve"> The Lancet, 2007. </w:t>
      </w:r>
      <w:r w:rsidRPr="009A56DA">
        <w:rPr>
          <w:b/>
          <w:color w:val="000000"/>
        </w:rPr>
        <w:t>369</w:t>
      </w:r>
      <w:r w:rsidRPr="009A56DA">
        <w:rPr>
          <w:color w:val="000000"/>
        </w:rPr>
        <w:t>(9579): p. 2121-2131.</w:t>
      </w:r>
    </w:p>
    <w:p w14:paraId="47C08C55"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[35]</w:t>
      </w:r>
      <w:r w:rsidRPr="009A56DA">
        <w:rPr>
          <w:color w:val="000000"/>
        </w:rPr>
        <w:tab/>
        <w:t xml:space="preserve">Smith, P.G. and R.H. Morrow, </w:t>
      </w:r>
      <w:r w:rsidRPr="009A56DA">
        <w:rPr>
          <w:i/>
          <w:color w:val="000000"/>
        </w:rPr>
        <w:t>Field trials of health interventions in developing countries: a toolbox.</w:t>
      </w:r>
      <w:r w:rsidRPr="009A56DA">
        <w:rPr>
          <w:color w:val="000000"/>
        </w:rPr>
        <w:t xml:space="preserve"> 1996.</w:t>
      </w:r>
    </w:p>
    <w:p w14:paraId="40D481B4"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[36]</w:t>
      </w:r>
      <w:r w:rsidRPr="009A56DA">
        <w:rPr>
          <w:color w:val="000000"/>
        </w:rPr>
        <w:tab/>
        <w:t xml:space="preserve">Cook, T.D. and D.T. Campbell, </w:t>
      </w:r>
      <w:r w:rsidRPr="009A56DA">
        <w:rPr>
          <w:i/>
          <w:color w:val="000000"/>
        </w:rPr>
        <w:t>Quasi-experimentation: Design and analysis for field settings</w:t>
      </w:r>
      <w:r w:rsidRPr="009A56DA">
        <w:rPr>
          <w:color w:val="000000"/>
        </w:rPr>
        <w:t>. Vol. 3. 1979: Rand McNally Chicago.</w:t>
      </w:r>
    </w:p>
    <w:p w14:paraId="3380B4A7"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[37]</w:t>
      </w:r>
      <w:r w:rsidRPr="009A56DA">
        <w:rPr>
          <w:color w:val="000000"/>
        </w:rPr>
        <w:tab/>
        <w:t xml:space="preserve">Beguy, D., P. Elung’ata, B. Mberu, C. Oduor, M. Wamukoya, B. Nganyi, et al., </w:t>
      </w:r>
      <w:r w:rsidRPr="009A56DA">
        <w:rPr>
          <w:i/>
          <w:color w:val="000000"/>
        </w:rPr>
        <w:t>Health &amp; demographic surveillance system profile: the Nairobi urban health and demographic surveillance system (NUHDSS).</w:t>
      </w:r>
      <w:r w:rsidRPr="009A56DA">
        <w:rPr>
          <w:color w:val="000000"/>
        </w:rPr>
        <w:t xml:space="preserve"> International journal of epidemiology, 2015. </w:t>
      </w:r>
      <w:r w:rsidRPr="009A56DA">
        <w:rPr>
          <w:b/>
          <w:color w:val="000000"/>
        </w:rPr>
        <w:t>44</w:t>
      </w:r>
      <w:r w:rsidRPr="009A56DA">
        <w:rPr>
          <w:color w:val="000000"/>
        </w:rPr>
        <w:t>(2): p. 462-471.</w:t>
      </w:r>
    </w:p>
    <w:p w14:paraId="6B9F3179" w14:textId="77777777" w:rsidR="00AF3F53" w:rsidRPr="009A56DA" w:rsidRDefault="00E20048">
      <w:pPr>
        <w:pBdr>
          <w:top w:val="nil"/>
          <w:left w:val="nil"/>
          <w:bottom w:val="nil"/>
          <w:right w:val="nil"/>
          <w:between w:val="nil"/>
        </w:pBdr>
        <w:spacing w:after="0" w:line="240" w:lineRule="auto"/>
        <w:ind w:left="720" w:hanging="720"/>
        <w:rPr>
          <w:color w:val="000000"/>
        </w:rPr>
      </w:pPr>
      <w:r w:rsidRPr="009A56DA">
        <w:rPr>
          <w:color w:val="000000"/>
        </w:rPr>
        <w:t>[38]</w:t>
      </w:r>
      <w:r w:rsidRPr="009A56DA">
        <w:rPr>
          <w:color w:val="000000"/>
        </w:rPr>
        <w:tab/>
        <w:t xml:space="preserve">Hooper., Teerenstra, E. De Hoop, and S. Eldridge, </w:t>
      </w:r>
      <w:r w:rsidRPr="009A56DA">
        <w:rPr>
          <w:i/>
          <w:color w:val="000000"/>
        </w:rPr>
        <w:t>Sample size calculation for stepped wedge and other longitudinal cluster randomised trials.</w:t>
      </w:r>
      <w:r w:rsidRPr="009A56DA">
        <w:rPr>
          <w:color w:val="000000"/>
        </w:rPr>
        <w:t xml:space="preserve"> Statistics in Medicine, 2016. </w:t>
      </w:r>
      <w:r w:rsidRPr="009A56DA">
        <w:rPr>
          <w:b/>
          <w:color w:val="000000"/>
        </w:rPr>
        <w:t>35</w:t>
      </w:r>
      <w:r w:rsidRPr="009A56DA">
        <w:rPr>
          <w:color w:val="000000"/>
        </w:rPr>
        <w:t>(26): p. 4718-4728.</w:t>
      </w:r>
    </w:p>
    <w:p w14:paraId="5539E1BF" w14:textId="77777777" w:rsidR="00AF3F53" w:rsidRPr="009A56DA" w:rsidRDefault="00E20048">
      <w:pPr>
        <w:pBdr>
          <w:top w:val="nil"/>
          <w:left w:val="nil"/>
          <w:bottom w:val="nil"/>
          <w:right w:val="nil"/>
          <w:between w:val="nil"/>
        </w:pBdr>
        <w:spacing w:line="240" w:lineRule="auto"/>
        <w:ind w:left="720" w:hanging="720"/>
        <w:rPr>
          <w:color w:val="000000"/>
        </w:rPr>
      </w:pPr>
      <w:r w:rsidRPr="009A56DA">
        <w:rPr>
          <w:color w:val="000000"/>
        </w:rPr>
        <w:t>[39]</w:t>
      </w:r>
      <w:r w:rsidRPr="009A56DA">
        <w:rPr>
          <w:color w:val="000000"/>
        </w:rPr>
        <w:tab/>
        <w:t xml:space="preserve">Russo, G., A. Miglietta, P. Pezzotti, R.M. Biguioh, and G.B. Mayaka, </w:t>
      </w:r>
      <w:r w:rsidRPr="009A56DA">
        <w:rPr>
          <w:i/>
          <w:color w:val="000000"/>
        </w:rPr>
        <w:t>Vaccine coverage and determinants of incomplete vaccination in children aged 12–23 months in Dschang, West Region, Cameroon: a cross-sectional survey during a polio outbreak.</w:t>
      </w:r>
      <w:r w:rsidRPr="009A56DA">
        <w:rPr>
          <w:color w:val="000000"/>
        </w:rPr>
        <w:t xml:space="preserve"> BMC Public Health, 2015. </w:t>
      </w:r>
      <w:r w:rsidRPr="009A56DA">
        <w:rPr>
          <w:b/>
          <w:color w:val="000000"/>
        </w:rPr>
        <w:t>15</w:t>
      </w:r>
      <w:r w:rsidRPr="009A56DA">
        <w:rPr>
          <w:color w:val="000000"/>
        </w:rPr>
        <w:t>(630): p. 1-11.</w:t>
      </w:r>
    </w:p>
    <w:p w14:paraId="289640B8" w14:textId="77777777" w:rsidR="00AF3F53" w:rsidRPr="009A56DA" w:rsidRDefault="00AF3F53">
      <w:pPr>
        <w:spacing w:after="0" w:line="240" w:lineRule="auto"/>
      </w:pPr>
    </w:p>
    <w:p w14:paraId="273D8EA3" w14:textId="77777777" w:rsidR="00AF3F53" w:rsidRPr="009A56DA" w:rsidRDefault="00AF3F53">
      <w:pPr>
        <w:spacing w:after="0" w:line="240" w:lineRule="auto"/>
      </w:pPr>
    </w:p>
    <w:p w14:paraId="26715BEF" w14:textId="77777777" w:rsidR="00504123" w:rsidRPr="009A56DA" w:rsidRDefault="00504123">
      <w:pPr>
        <w:spacing w:after="0" w:line="240" w:lineRule="auto"/>
      </w:pPr>
    </w:p>
    <w:p w14:paraId="73657968" w14:textId="77777777" w:rsidR="00504123" w:rsidRPr="009A56DA" w:rsidRDefault="00504123">
      <w:pPr>
        <w:spacing w:after="0" w:line="240" w:lineRule="auto"/>
      </w:pPr>
    </w:p>
    <w:p w14:paraId="7F95DB1A" w14:textId="77777777" w:rsidR="00AF3F53" w:rsidRPr="009A56DA" w:rsidRDefault="00E20048">
      <w:pPr>
        <w:spacing w:after="0" w:line="240" w:lineRule="auto"/>
        <w:rPr>
          <w:b/>
          <w:sz w:val="24"/>
          <w:szCs w:val="24"/>
        </w:rPr>
      </w:pPr>
      <w:r w:rsidRPr="009A56DA">
        <w:rPr>
          <w:b/>
          <w:sz w:val="24"/>
          <w:szCs w:val="24"/>
        </w:rPr>
        <w:lastRenderedPageBreak/>
        <w:t xml:space="preserve"> b) Appendices</w:t>
      </w:r>
    </w:p>
    <w:p w14:paraId="3303771F" w14:textId="77777777" w:rsidR="00AF3F53" w:rsidRPr="009A56DA" w:rsidRDefault="00E20048">
      <w:pPr>
        <w:spacing w:line="240" w:lineRule="auto"/>
        <w:jc w:val="both"/>
      </w:pPr>
      <w:r w:rsidRPr="009A56DA">
        <w:t xml:space="preserve">Appendix 1: Curriculum Vitae of Investigators </w:t>
      </w:r>
    </w:p>
    <w:p w14:paraId="26FDB1B6" w14:textId="77777777" w:rsidR="00AF3F53" w:rsidRPr="009A56DA" w:rsidRDefault="00E20048">
      <w:pPr>
        <w:spacing w:line="240" w:lineRule="auto"/>
        <w:jc w:val="both"/>
      </w:pPr>
      <w:r w:rsidRPr="009A56DA">
        <w:t>Appendix 2: Data collection tools</w:t>
      </w:r>
    </w:p>
    <w:p w14:paraId="3C4C30FF" w14:textId="6AD7FBB4" w:rsidR="002866B7" w:rsidRPr="009A56DA" w:rsidRDefault="009A3578">
      <w:pPr>
        <w:spacing w:line="240" w:lineRule="auto"/>
        <w:jc w:val="both"/>
      </w:pPr>
      <w:r w:rsidRPr="009A56DA">
        <w:t xml:space="preserve">                   2A</w:t>
      </w:r>
      <w:r w:rsidR="002866B7" w:rsidRPr="009A56DA">
        <w:t>- Study questionnaire</w:t>
      </w:r>
    </w:p>
    <w:p w14:paraId="52006D4B" w14:textId="04AA5F29" w:rsidR="002866B7" w:rsidRPr="009A56DA" w:rsidRDefault="009A3578">
      <w:pPr>
        <w:spacing w:line="240" w:lineRule="auto"/>
        <w:jc w:val="both"/>
      </w:pPr>
      <w:r w:rsidRPr="009A56DA">
        <w:t xml:space="preserve">                   2B</w:t>
      </w:r>
      <w:r w:rsidR="002866B7" w:rsidRPr="009A56DA">
        <w:t>: Electronic data schema</w:t>
      </w:r>
    </w:p>
    <w:p w14:paraId="6D975799" w14:textId="77777777" w:rsidR="00AF3F53" w:rsidRPr="009A56DA" w:rsidRDefault="00E20048">
      <w:pPr>
        <w:spacing w:line="240" w:lineRule="auto"/>
        <w:jc w:val="both"/>
      </w:pPr>
      <w:r w:rsidRPr="009A56DA">
        <w:t>Appendix 3: Informed Consent Documents</w:t>
      </w:r>
    </w:p>
    <w:p w14:paraId="7C911778" w14:textId="77777777" w:rsidR="00AF3F53" w:rsidRDefault="00E20048">
      <w:pPr>
        <w:spacing w:line="240" w:lineRule="auto"/>
        <w:jc w:val="both"/>
      </w:pPr>
      <w:r w:rsidRPr="009A56DA">
        <w:t>Appendix 4: NIH training certificates</w:t>
      </w:r>
    </w:p>
    <w:p w14:paraId="653E5A77" w14:textId="77777777" w:rsidR="00AF3F53" w:rsidRDefault="00AF3F53">
      <w:pPr>
        <w:spacing w:line="240" w:lineRule="auto"/>
        <w:jc w:val="both"/>
      </w:pPr>
    </w:p>
    <w:p w14:paraId="24217B72" w14:textId="77777777" w:rsidR="00AF3F53" w:rsidRDefault="00AF3F53">
      <w:pPr>
        <w:jc w:val="both"/>
      </w:pPr>
    </w:p>
    <w:p w14:paraId="6C6409BC" w14:textId="195221AA" w:rsidR="00AF3F53" w:rsidRDefault="00AF3F53" w:rsidP="00504123">
      <w:pPr>
        <w:jc w:val="both"/>
      </w:pPr>
    </w:p>
    <w:sectPr w:rsidR="00AF3F53">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88551" w14:textId="77777777" w:rsidR="00243DC5" w:rsidRDefault="00243DC5">
      <w:pPr>
        <w:spacing w:after="0" w:line="240" w:lineRule="auto"/>
      </w:pPr>
      <w:r>
        <w:separator/>
      </w:r>
    </w:p>
  </w:endnote>
  <w:endnote w:type="continuationSeparator" w:id="0">
    <w:p w14:paraId="6335A645" w14:textId="77777777" w:rsidR="00243DC5" w:rsidRDefault="00243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agneto">
    <w:panose1 w:val="04030805050802020D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451A71" w14:textId="77777777" w:rsidR="003A33F4" w:rsidRDefault="003A33F4">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B06E46">
      <w:rPr>
        <w:noProof/>
        <w:color w:val="000000"/>
      </w:rPr>
      <w:t>22</w:t>
    </w:r>
    <w:r>
      <w:rPr>
        <w:color w:val="000000"/>
      </w:rPr>
      <w:fldChar w:fldCharType="end"/>
    </w:r>
  </w:p>
  <w:p w14:paraId="5014277C" w14:textId="77777777" w:rsidR="003A33F4" w:rsidRDefault="003A33F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81A54A" w14:textId="77777777" w:rsidR="00243DC5" w:rsidRDefault="00243DC5">
      <w:pPr>
        <w:spacing w:after="0" w:line="240" w:lineRule="auto"/>
      </w:pPr>
      <w:r>
        <w:separator/>
      </w:r>
    </w:p>
  </w:footnote>
  <w:footnote w:type="continuationSeparator" w:id="0">
    <w:p w14:paraId="4EB48C46" w14:textId="77777777" w:rsidR="00243DC5" w:rsidRDefault="00243D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3565B"/>
    <w:multiLevelType w:val="multilevel"/>
    <w:tmpl w:val="2D8CB7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0A290F"/>
    <w:multiLevelType w:val="multilevel"/>
    <w:tmpl w:val="A0CACF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933CD6"/>
    <w:multiLevelType w:val="multilevel"/>
    <w:tmpl w:val="52F4DB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7206627"/>
    <w:multiLevelType w:val="multilevel"/>
    <w:tmpl w:val="542A564C"/>
    <w:lvl w:ilvl="0">
      <w:start w:val="1"/>
      <w:numFmt w:val="lowerLetter"/>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4" w15:restartNumberingAfterBreak="0">
    <w:nsid w:val="20CE275F"/>
    <w:multiLevelType w:val="multilevel"/>
    <w:tmpl w:val="24CACA24"/>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6907678"/>
    <w:multiLevelType w:val="multilevel"/>
    <w:tmpl w:val="50F8C7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7876CF0"/>
    <w:multiLevelType w:val="multilevel"/>
    <w:tmpl w:val="18BC4E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5B56E67"/>
    <w:multiLevelType w:val="multilevel"/>
    <w:tmpl w:val="492A2A9C"/>
    <w:lvl w:ilvl="0">
      <w:start w:val="1"/>
      <w:numFmt w:val="bullet"/>
      <w:lvlText w:val="●"/>
      <w:lvlJc w:val="left"/>
      <w:pPr>
        <w:ind w:left="930" w:hanging="360"/>
      </w:pPr>
      <w:rPr>
        <w:rFonts w:ascii="Noto Sans Symbols" w:eastAsia="Noto Sans Symbols" w:hAnsi="Noto Sans Symbols" w:cs="Noto Sans Symbols"/>
      </w:rPr>
    </w:lvl>
    <w:lvl w:ilvl="1">
      <w:start w:val="1"/>
      <w:numFmt w:val="bullet"/>
      <w:lvlText w:val="o"/>
      <w:lvlJc w:val="left"/>
      <w:pPr>
        <w:ind w:left="1650" w:hanging="360"/>
      </w:pPr>
      <w:rPr>
        <w:rFonts w:ascii="Courier New" w:eastAsia="Courier New" w:hAnsi="Courier New" w:cs="Courier New"/>
      </w:rPr>
    </w:lvl>
    <w:lvl w:ilvl="2">
      <w:start w:val="1"/>
      <w:numFmt w:val="bullet"/>
      <w:lvlText w:val="▪"/>
      <w:lvlJc w:val="left"/>
      <w:pPr>
        <w:ind w:left="2370" w:hanging="360"/>
      </w:pPr>
      <w:rPr>
        <w:rFonts w:ascii="Noto Sans Symbols" w:eastAsia="Noto Sans Symbols" w:hAnsi="Noto Sans Symbols" w:cs="Noto Sans Symbols"/>
      </w:rPr>
    </w:lvl>
    <w:lvl w:ilvl="3">
      <w:start w:val="1"/>
      <w:numFmt w:val="bullet"/>
      <w:lvlText w:val="●"/>
      <w:lvlJc w:val="left"/>
      <w:pPr>
        <w:ind w:left="3090" w:hanging="360"/>
      </w:pPr>
      <w:rPr>
        <w:rFonts w:ascii="Noto Sans Symbols" w:eastAsia="Noto Sans Symbols" w:hAnsi="Noto Sans Symbols" w:cs="Noto Sans Symbols"/>
      </w:rPr>
    </w:lvl>
    <w:lvl w:ilvl="4">
      <w:start w:val="1"/>
      <w:numFmt w:val="bullet"/>
      <w:lvlText w:val="o"/>
      <w:lvlJc w:val="left"/>
      <w:pPr>
        <w:ind w:left="3810" w:hanging="360"/>
      </w:pPr>
      <w:rPr>
        <w:rFonts w:ascii="Courier New" w:eastAsia="Courier New" w:hAnsi="Courier New" w:cs="Courier New"/>
      </w:rPr>
    </w:lvl>
    <w:lvl w:ilvl="5">
      <w:start w:val="1"/>
      <w:numFmt w:val="bullet"/>
      <w:lvlText w:val="▪"/>
      <w:lvlJc w:val="left"/>
      <w:pPr>
        <w:ind w:left="4530" w:hanging="360"/>
      </w:pPr>
      <w:rPr>
        <w:rFonts w:ascii="Noto Sans Symbols" w:eastAsia="Noto Sans Symbols" w:hAnsi="Noto Sans Symbols" w:cs="Noto Sans Symbols"/>
      </w:rPr>
    </w:lvl>
    <w:lvl w:ilvl="6">
      <w:start w:val="1"/>
      <w:numFmt w:val="bullet"/>
      <w:lvlText w:val="●"/>
      <w:lvlJc w:val="left"/>
      <w:pPr>
        <w:ind w:left="5250" w:hanging="360"/>
      </w:pPr>
      <w:rPr>
        <w:rFonts w:ascii="Noto Sans Symbols" w:eastAsia="Noto Sans Symbols" w:hAnsi="Noto Sans Symbols" w:cs="Noto Sans Symbols"/>
      </w:rPr>
    </w:lvl>
    <w:lvl w:ilvl="7">
      <w:start w:val="1"/>
      <w:numFmt w:val="bullet"/>
      <w:lvlText w:val="o"/>
      <w:lvlJc w:val="left"/>
      <w:pPr>
        <w:ind w:left="5970" w:hanging="360"/>
      </w:pPr>
      <w:rPr>
        <w:rFonts w:ascii="Courier New" w:eastAsia="Courier New" w:hAnsi="Courier New" w:cs="Courier New"/>
      </w:rPr>
    </w:lvl>
    <w:lvl w:ilvl="8">
      <w:start w:val="1"/>
      <w:numFmt w:val="bullet"/>
      <w:lvlText w:val="▪"/>
      <w:lvlJc w:val="left"/>
      <w:pPr>
        <w:ind w:left="6690" w:hanging="360"/>
      </w:pPr>
      <w:rPr>
        <w:rFonts w:ascii="Noto Sans Symbols" w:eastAsia="Noto Sans Symbols" w:hAnsi="Noto Sans Symbols" w:cs="Noto Sans Symbols"/>
      </w:rPr>
    </w:lvl>
  </w:abstractNum>
  <w:abstractNum w:abstractNumId="8" w15:restartNumberingAfterBreak="0">
    <w:nsid w:val="47CC28E6"/>
    <w:multiLevelType w:val="multilevel"/>
    <w:tmpl w:val="82BAA602"/>
    <w:lvl w:ilvl="0">
      <w:start w:val="1"/>
      <w:numFmt w:val="decimal"/>
      <w:lvlText w:val="%1."/>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A8C7731"/>
    <w:multiLevelType w:val="multilevel"/>
    <w:tmpl w:val="ED5A232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9B740D5"/>
    <w:multiLevelType w:val="multilevel"/>
    <w:tmpl w:val="EF3A06B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0"/>
  </w:num>
  <w:num w:numId="2">
    <w:abstractNumId w:val="3"/>
  </w:num>
  <w:num w:numId="3">
    <w:abstractNumId w:val="2"/>
  </w:num>
  <w:num w:numId="4">
    <w:abstractNumId w:val="8"/>
  </w:num>
  <w:num w:numId="5">
    <w:abstractNumId w:val="4"/>
  </w:num>
  <w:num w:numId="6">
    <w:abstractNumId w:val="5"/>
  </w:num>
  <w:num w:numId="7">
    <w:abstractNumId w:val="6"/>
  </w:num>
  <w:num w:numId="8">
    <w:abstractNumId w:val="9"/>
  </w:num>
  <w:num w:numId="9">
    <w:abstractNumId w:val="0"/>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F53"/>
    <w:rsid w:val="000D41BB"/>
    <w:rsid w:val="00100DBE"/>
    <w:rsid w:val="00113C6B"/>
    <w:rsid w:val="00161C8A"/>
    <w:rsid w:val="001A6CC8"/>
    <w:rsid w:val="001C1071"/>
    <w:rsid w:val="001D4528"/>
    <w:rsid w:val="00213B09"/>
    <w:rsid w:val="00217EAF"/>
    <w:rsid w:val="00243DC5"/>
    <w:rsid w:val="002866B7"/>
    <w:rsid w:val="002D2DCA"/>
    <w:rsid w:val="002F40CC"/>
    <w:rsid w:val="00304358"/>
    <w:rsid w:val="003A33F4"/>
    <w:rsid w:val="003D7002"/>
    <w:rsid w:val="004171EA"/>
    <w:rsid w:val="004E7098"/>
    <w:rsid w:val="00504123"/>
    <w:rsid w:val="005206EC"/>
    <w:rsid w:val="005F116E"/>
    <w:rsid w:val="00633AE5"/>
    <w:rsid w:val="00647CB6"/>
    <w:rsid w:val="00661E58"/>
    <w:rsid w:val="00687A72"/>
    <w:rsid w:val="006F6D75"/>
    <w:rsid w:val="00782FAC"/>
    <w:rsid w:val="008A1D28"/>
    <w:rsid w:val="008A570C"/>
    <w:rsid w:val="0094566A"/>
    <w:rsid w:val="00947E8D"/>
    <w:rsid w:val="00965358"/>
    <w:rsid w:val="009A3578"/>
    <w:rsid w:val="009A56DA"/>
    <w:rsid w:val="009F4DB0"/>
    <w:rsid w:val="00A470B1"/>
    <w:rsid w:val="00AF3F53"/>
    <w:rsid w:val="00B06E46"/>
    <w:rsid w:val="00B41F68"/>
    <w:rsid w:val="00B530E6"/>
    <w:rsid w:val="00B70028"/>
    <w:rsid w:val="00B76C03"/>
    <w:rsid w:val="00BA7DC4"/>
    <w:rsid w:val="00D12941"/>
    <w:rsid w:val="00D80FDC"/>
    <w:rsid w:val="00D925E6"/>
    <w:rsid w:val="00DB50AC"/>
    <w:rsid w:val="00E20048"/>
    <w:rsid w:val="00E8760D"/>
    <w:rsid w:val="00EB5D67"/>
    <w:rsid w:val="00FC56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03A59"/>
  <w15:docId w15:val="{32FB57FA-E86B-4C0B-9500-27AA7DE85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40" w:after="0"/>
      <w:outlineLvl w:val="1"/>
    </w:pPr>
    <w:rPr>
      <w:color w:val="2E75B5"/>
      <w:sz w:val="26"/>
      <w:szCs w:val="26"/>
    </w:rPr>
  </w:style>
  <w:style w:type="paragraph" w:styleId="Heading3">
    <w:name w:val="heading 3"/>
    <w:basedOn w:val="Normal"/>
    <w:next w:val="Normal"/>
    <w:pPr>
      <w:keepNext/>
      <w:keepLines/>
      <w:spacing w:before="80" w:after="0" w:line="240" w:lineRule="auto"/>
      <w:outlineLvl w:val="2"/>
    </w:pPr>
    <w:rPr>
      <w:color w:val="404040"/>
      <w:sz w:val="26"/>
      <w:szCs w:val="26"/>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200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048"/>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4171EA"/>
    <w:rPr>
      <w:b/>
      <w:bCs/>
    </w:rPr>
  </w:style>
  <w:style w:type="character" w:customStyle="1" w:styleId="CommentSubjectChar">
    <w:name w:val="Comment Subject Char"/>
    <w:basedOn w:val="CommentTextChar"/>
    <w:link w:val="CommentSubject"/>
    <w:uiPriority w:val="99"/>
    <w:semiHidden/>
    <w:rsid w:val="004171E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8543</Words>
  <Characters>48698</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Ministry of Education</Company>
  <LinksUpToDate>false</LinksUpToDate>
  <CharactersWithSpaces>57127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Gershim Asiki</dc:creator>
  <cp:lastModifiedBy>PETER OTIENO</cp:lastModifiedBy>
  <cp:revision>2</cp:revision>
  <dcterms:created xsi:type="dcterms:W3CDTF">2021-07-21T10:20:00Z</dcterms:created>
  <dcterms:modified xsi:type="dcterms:W3CDTF">2021-07-21T10:20:00Z</dcterms:modified>
</cp:coreProperties>
</file>