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9D827" w14:textId="24831ADB" w:rsidR="00A41124" w:rsidRPr="00A41124" w:rsidRDefault="00081B51">
      <w:pPr>
        <w:spacing w:after="0" w:line="360" w:lineRule="auto"/>
        <w:jc w:val="both"/>
        <w:rPr>
          <w:rFonts w:ascii="Times New Roman" w:eastAsia="Times New Roman" w:hAnsi="Times New Roman" w:cs="Times New Roman"/>
          <w:b/>
          <w:color w:val="000000"/>
          <w:sz w:val="28"/>
          <w:szCs w:val="28"/>
        </w:rPr>
      </w:pPr>
      <w:bookmarkStart w:id="0" w:name="_heading=h.gjdgxs" w:colFirst="0" w:colLast="0"/>
      <w:bookmarkEnd w:id="0"/>
      <w:r w:rsidRPr="00D36AFD">
        <w:rPr>
          <w:rFonts w:ascii="Times New Roman" w:eastAsia="Times New Roman" w:hAnsi="Times New Roman" w:cs="Times New Roman"/>
          <w:b/>
          <w:color w:val="000000"/>
          <w:sz w:val="28"/>
          <w:szCs w:val="28"/>
        </w:rPr>
        <w:t>Evidence to catalyse food environment policy actions towards healthy diets and prevention of the double burden of malnutrition in Kenya (FEP- ACTION)</w:t>
      </w:r>
    </w:p>
    <w:p w14:paraId="1AE8BDC8" w14:textId="77777777" w:rsidR="00940635" w:rsidRPr="00D36AFD" w:rsidRDefault="00081B51">
      <w:pPr>
        <w:spacing w:after="0" w:line="360" w:lineRule="auto"/>
        <w:jc w:val="both"/>
        <w:rPr>
          <w:rFonts w:ascii="Times New Roman" w:eastAsia="Times New Roman" w:hAnsi="Times New Roman" w:cs="Times New Roman"/>
          <w:b/>
          <w:color w:val="000000"/>
          <w:sz w:val="24"/>
          <w:szCs w:val="24"/>
        </w:rPr>
      </w:pPr>
      <w:r w:rsidRPr="00D36AFD">
        <w:rPr>
          <w:rFonts w:ascii="Times New Roman" w:eastAsia="Times New Roman" w:hAnsi="Times New Roman" w:cs="Times New Roman"/>
          <w:b/>
          <w:color w:val="000000"/>
          <w:sz w:val="24"/>
          <w:szCs w:val="24"/>
        </w:rPr>
        <w:t>Principle Investigator</w:t>
      </w:r>
    </w:p>
    <w:p w14:paraId="6DC5605E"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Dr Gershim Asiki,</w:t>
      </w:r>
    </w:p>
    <w:p w14:paraId="480EF7A0"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APHRC Campus; Manga Close, off Kirawa Road, Kitisuru.</w:t>
      </w:r>
    </w:p>
    <w:p w14:paraId="013E8A2C"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P.O. Box 10787 Nairobi, 00100 GPO.</w:t>
      </w:r>
    </w:p>
    <w:p w14:paraId="574773AE"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Telephone: 020 400 1000</w:t>
      </w:r>
    </w:p>
    <w:p w14:paraId="6B2DAECE"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E-mail address: </w:t>
      </w:r>
      <w:hyperlink r:id="rId9">
        <w:r w:rsidRPr="00D36AFD">
          <w:rPr>
            <w:rFonts w:ascii="Times New Roman" w:eastAsia="Times New Roman" w:hAnsi="Times New Roman" w:cs="Times New Roman"/>
            <w:color w:val="000000"/>
            <w:sz w:val="24"/>
            <w:szCs w:val="24"/>
            <w:u w:val="single"/>
          </w:rPr>
          <w:t>gasiki@aphrc.org</w:t>
        </w:r>
      </w:hyperlink>
    </w:p>
    <w:p w14:paraId="5297FCE9" w14:textId="77777777" w:rsidR="00940635" w:rsidRPr="00D36AFD" w:rsidRDefault="00081B51">
      <w:pPr>
        <w:spacing w:after="0" w:line="360" w:lineRule="auto"/>
        <w:jc w:val="both"/>
        <w:rPr>
          <w:rFonts w:ascii="Times New Roman" w:eastAsia="Times New Roman" w:hAnsi="Times New Roman" w:cs="Times New Roman"/>
          <w:b/>
          <w:color w:val="000000"/>
          <w:sz w:val="24"/>
          <w:szCs w:val="24"/>
        </w:rPr>
      </w:pPr>
      <w:r w:rsidRPr="00D36AFD">
        <w:rPr>
          <w:rFonts w:ascii="Times New Roman" w:eastAsia="Times New Roman" w:hAnsi="Times New Roman" w:cs="Times New Roman"/>
          <w:b/>
          <w:color w:val="000000"/>
          <w:sz w:val="24"/>
          <w:szCs w:val="24"/>
        </w:rPr>
        <w:t>Co-Investigators</w:t>
      </w:r>
    </w:p>
    <w:p w14:paraId="2BCE5C06"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Dr. Shukri Mohamed, Associate Research Scientist, APHRC</w:t>
      </w:r>
    </w:p>
    <w:p w14:paraId="26AD22CE"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Jane Mangwana, Advocacy Project Manager, APHRC</w:t>
      </w:r>
    </w:p>
    <w:p w14:paraId="5B1CFD65" w14:textId="77777777" w:rsidR="00940635" w:rsidRPr="00D36AFD" w:rsidRDefault="00634BB9">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Veronica Sanda Ojiambo</w:t>
      </w:r>
      <w:r w:rsidR="00081B51" w:rsidRPr="00D36AFD">
        <w:rPr>
          <w:rFonts w:ascii="Times New Roman" w:eastAsia="Times New Roman" w:hAnsi="Times New Roman" w:cs="Times New Roman"/>
          <w:color w:val="000000"/>
          <w:sz w:val="24"/>
          <w:szCs w:val="24"/>
        </w:rPr>
        <w:t>, Research Officer, APHRC</w:t>
      </w:r>
    </w:p>
    <w:p w14:paraId="0231ED41"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Milka Wanjohi, Research Officer, APHRC</w:t>
      </w:r>
    </w:p>
    <w:p w14:paraId="506776C2"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Helen Gitau, Research Officer, APHRC</w:t>
      </w:r>
    </w:p>
    <w:p w14:paraId="1634E251" w14:textId="77777777" w:rsidR="003579A4" w:rsidRDefault="003579A4">
      <w:pPr>
        <w:spacing w:after="0" w:line="360" w:lineRule="auto"/>
        <w:jc w:val="both"/>
        <w:rPr>
          <w:rFonts w:ascii="Times New Roman" w:eastAsia="Times New Roman" w:hAnsi="Times New Roman" w:cs="Times New Roman"/>
          <w:color w:val="000000"/>
          <w:sz w:val="24"/>
          <w:szCs w:val="24"/>
        </w:rPr>
      </w:pPr>
    </w:p>
    <w:p w14:paraId="3F455325" w14:textId="4F088DCD" w:rsidR="00940635" w:rsidRPr="00D36AFD" w:rsidRDefault="00081B51">
      <w:pPr>
        <w:spacing w:after="0" w:line="360" w:lineRule="auto"/>
        <w:jc w:val="both"/>
        <w:rPr>
          <w:rFonts w:ascii="Times New Roman" w:eastAsia="Times New Roman" w:hAnsi="Times New Roman" w:cs="Times New Roman"/>
          <w:b/>
          <w:color w:val="000000"/>
          <w:sz w:val="24"/>
          <w:szCs w:val="24"/>
        </w:rPr>
      </w:pPr>
      <w:proofErr w:type="gramStart"/>
      <w:r w:rsidRPr="00D36AFD">
        <w:rPr>
          <w:rFonts w:ascii="Times New Roman" w:eastAsia="Times New Roman" w:hAnsi="Times New Roman" w:cs="Times New Roman"/>
          <w:b/>
          <w:color w:val="000000"/>
          <w:sz w:val="24"/>
          <w:szCs w:val="24"/>
        </w:rPr>
        <w:t>Collaborators;</w:t>
      </w:r>
      <w:proofErr w:type="gramEnd"/>
    </w:p>
    <w:p w14:paraId="61938A08"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Immaculate Nyaugo, Ministry of Health </w:t>
      </w:r>
    </w:p>
    <w:p w14:paraId="74233BB4"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Leila Akinyi, Ministry of Health </w:t>
      </w:r>
    </w:p>
    <w:p w14:paraId="06B670B0"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Elizabeth Onyango Ministry of Health</w:t>
      </w:r>
    </w:p>
    <w:p w14:paraId="200DD300"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Elephantus Maree, Ministry of Health</w:t>
      </w:r>
    </w:p>
    <w:p w14:paraId="4D647048"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Oren Ombiro, Ministry of Health</w:t>
      </w:r>
    </w:p>
    <w:p w14:paraId="2134465C"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Zachariah Muriuki, Ministry of Health</w:t>
      </w:r>
    </w:p>
    <w:p w14:paraId="6D7C06D8"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Zahara Ali, Ministry of Health</w:t>
      </w:r>
    </w:p>
    <w:p w14:paraId="4A1F7AFD"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Dr. Mary Mwale, Ministry of Agriculture,  </w:t>
      </w:r>
    </w:p>
    <w:p w14:paraId="34BE12C1"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Peter Mutua, Kenya Bureau of Standards (KEBS), </w:t>
      </w:r>
    </w:p>
    <w:p w14:paraId="7AE23D97"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Dr Daniel N. Sila, Jomo Kenyatta University of Agriculture and Technology (JKUAT),</w:t>
      </w:r>
    </w:p>
    <w:p w14:paraId="5461D4FF"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Juliana Kiio, Kenyatta University,</w:t>
      </w:r>
    </w:p>
    <w:p w14:paraId="48352050"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Charles Opiyo, Global Alliance for Improved Nutrition (GAIN), </w:t>
      </w:r>
    </w:p>
    <w:p w14:paraId="3925898F"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Claire Johnson, UNICEF, </w:t>
      </w:r>
    </w:p>
    <w:p w14:paraId="701B0D63"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PRICELESS</w:t>
      </w:r>
    </w:p>
    <w:p w14:paraId="58DD7205" w14:textId="77777777" w:rsidR="00940635" w:rsidRPr="00D36AFD" w:rsidRDefault="00081B51">
      <w:pPr>
        <w:spacing w:after="0" w:line="360" w:lineRule="auto"/>
        <w:jc w:val="both"/>
        <w:rPr>
          <w:rFonts w:ascii="Times New Roman" w:eastAsia="Times New Roman" w:hAnsi="Times New Roman" w:cs="Times New Roman"/>
          <w:b/>
          <w:color w:val="000000"/>
          <w:sz w:val="24"/>
          <w:szCs w:val="24"/>
        </w:rPr>
      </w:pPr>
      <w:r w:rsidRPr="00D36AFD">
        <w:rPr>
          <w:rFonts w:ascii="Times New Roman" w:eastAsia="Times New Roman" w:hAnsi="Times New Roman" w:cs="Times New Roman"/>
          <w:b/>
          <w:color w:val="000000"/>
          <w:sz w:val="24"/>
          <w:szCs w:val="24"/>
        </w:rPr>
        <w:t xml:space="preserve">Funded by IDRC &amp; </w:t>
      </w:r>
      <w:proofErr w:type="gramStart"/>
      <w:r w:rsidRPr="00D36AFD">
        <w:rPr>
          <w:rFonts w:ascii="Times New Roman" w:eastAsia="Times New Roman" w:hAnsi="Times New Roman" w:cs="Times New Roman"/>
          <w:b/>
          <w:color w:val="000000"/>
          <w:sz w:val="24"/>
          <w:szCs w:val="24"/>
        </w:rPr>
        <w:t>Rockefeller  Foundation</w:t>
      </w:r>
      <w:proofErr w:type="gramEnd"/>
    </w:p>
    <w:p w14:paraId="426C08C0" w14:textId="77777777" w:rsidR="00940635" w:rsidRPr="00D36AFD" w:rsidRDefault="00081B51">
      <w:pPr>
        <w:keepNext/>
        <w:keepLines/>
        <w:pBdr>
          <w:top w:val="nil"/>
          <w:left w:val="nil"/>
          <w:bottom w:val="nil"/>
          <w:right w:val="nil"/>
          <w:between w:val="nil"/>
        </w:pBdr>
        <w:spacing w:before="240" w:after="0"/>
        <w:rPr>
          <w:rFonts w:ascii="Times New Roman" w:eastAsia="Times New Roman" w:hAnsi="Times New Roman" w:cs="Times New Roman"/>
          <w:b/>
          <w:color w:val="000000"/>
          <w:sz w:val="28"/>
          <w:szCs w:val="28"/>
        </w:rPr>
      </w:pPr>
      <w:r w:rsidRPr="00D36AFD">
        <w:rPr>
          <w:rFonts w:ascii="Times New Roman" w:eastAsia="Times New Roman" w:hAnsi="Times New Roman" w:cs="Times New Roman"/>
          <w:b/>
          <w:color w:val="000000"/>
          <w:sz w:val="28"/>
          <w:szCs w:val="28"/>
        </w:rPr>
        <w:lastRenderedPageBreak/>
        <w:t>Table of Contents</w:t>
      </w:r>
    </w:p>
    <w:sdt>
      <w:sdtPr>
        <w:id w:val="1781148816"/>
        <w:docPartObj>
          <w:docPartGallery w:val="Table of Contents"/>
          <w:docPartUnique/>
        </w:docPartObj>
      </w:sdtPr>
      <w:sdtContent>
        <w:p w14:paraId="45988CE9" w14:textId="77777777" w:rsidR="00940635" w:rsidRPr="00D36AFD" w:rsidRDefault="00081B51">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r w:rsidRPr="00D36AFD">
            <w:fldChar w:fldCharType="begin"/>
          </w:r>
          <w:r w:rsidRPr="00D36AFD">
            <w:instrText xml:space="preserve"> TOC \h \u \z \t "Heading 1,1,Heading 2,2,Heading 3,3,Heading 4,4,Heading 5,5,Heading 6,6,"</w:instrText>
          </w:r>
          <w:r w:rsidRPr="00D36AFD">
            <w:fldChar w:fldCharType="separate"/>
          </w:r>
          <w:hyperlink w:anchor="_heading=h.30j0zll">
            <w:r w:rsidRPr="00D36AFD">
              <w:rPr>
                <w:rFonts w:ascii="Times New Roman" w:eastAsia="Times New Roman" w:hAnsi="Times New Roman" w:cs="Times New Roman"/>
                <w:color w:val="000000"/>
                <w:sz w:val="24"/>
                <w:szCs w:val="24"/>
              </w:rPr>
              <w:t>Introduction</w:t>
            </w:r>
            <w:r w:rsidRPr="00D36AFD">
              <w:rPr>
                <w:rFonts w:ascii="Times New Roman" w:eastAsia="Times New Roman" w:hAnsi="Times New Roman" w:cs="Times New Roman"/>
                <w:color w:val="000000"/>
                <w:sz w:val="24"/>
                <w:szCs w:val="24"/>
              </w:rPr>
              <w:tab/>
              <w:t>7</w:t>
            </w:r>
          </w:hyperlink>
        </w:p>
        <w:p w14:paraId="08629459" w14:textId="77777777" w:rsidR="00940635" w:rsidRPr="00D36AFD" w:rsidRDefault="00000000">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heading=h.1fob9te">
            <w:r w:rsidR="00081B51" w:rsidRPr="00D36AFD">
              <w:rPr>
                <w:rFonts w:ascii="Times New Roman" w:eastAsia="Times New Roman" w:hAnsi="Times New Roman" w:cs="Times New Roman"/>
                <w:color w:val="000000"/>
                <w:sz w:val="24"/>
                <w:szCs w:val="24"/>
              </w:rPr>
              <w:t>Research problem and justification</w:t>
            </w:r>
            <w:r w:rsidR="00081B51" w:rsidRPr="00D36AFD">
              <w:rPr>
                <w:rFonts w:ascii="Times New Roman" w:eastAsia="Times New Roman" w:hAnsi="Times New Roman" w:cs="Times New Roman"/>
                <w:color w:val="000000"/>
                <w:sz w:val="24"/>
                <w:szCs w:val="24"/>
              </w:rPr>
              <w:tab/>
              <w:t>8</w:t>
            </w:r>
          </w:hyperlink>
        </w:p>
        <w:p w14:paraId="48E1DBAB" w14:textId="77777777" w:rsidR="00940635" w:rsidRPr="00D36AFD" w:rsidRDefault="00000000">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heading=h.3znysh7">
            <w:r w:rsidR="00081B51" w:rsidRPr="00D36AFD">
              <w:rPr>
                <w:rFonts w:ascii="Times New Roman" w:eastAsia="Times New Roman" w:hAnsi="Times New Roman" w:cs="Times New Roman"/>
                <w:color w:val="000000"/>
                <w:sz w:val="24"/>
                <w:szCs w:val="24"/>
              </w:rPr>
              <w:t>Review of Literature</w:t>
            </w:r>
            <w:r w:rsidR="00081B51" w:rsidRPr="00D36AFD">
              <w:rPr>
                <w:rFonts w:ascii="Times New Roman" w:eastAsia="Times New Roman" w:hAnsi="Times New Roman" w:cs="Times New Roman"/>
                <w:color w:val="000000"/>
                <w:sz w:val="24"/>
                <w:szCs w:val="24"/>
              </w:rPr>
              <w:tab/>
              <w:t>10</w:t>
            </w:r>
          </w:hyperlink>
        </w:p>
        <w:p w14:paraId="1BB517F3" w14:textId="77777777" w:rsidR="00940635" w:rsidRPr="00D36AFD" w:rsidRDefault="00000000">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heading=h.2et92p0">
            <w:r w:rsidR="00081B51" w:rsidRPr="00D36AFD">
              <w:rPr>
                <w:rFonts w:ascii="Times New Roman" w:eastAsia="Times New Roman" w:hAnsi="Times New Roman" w:cs="Times New Roman"/>
                <w:color w:val="000000"/>
                <w:sz w:val="24"/>
                <w:szCs w:val="24"/>
              </w:rPr>
              <w:t>Research Objectives</w:t>
            </w:r>
            <w:r w:rsidR="00081B51" w:rsidRPr="00D36AFD">
              <w:rPr>
                <w:rFonts w:ascii="Times New Roman" w:eastAsia="Times New Roman" w:hAnsi="Times New Roman" w:cs="Times New Roman"/>
                <w:color w:val="000000"/>
                <w:sz w:val="24"/>
                <w:szCs w:val="24"/>
              </w:rPr>
              <w:tab/>
              <w:t>12</w:t>
            </w:r>
          </w:hyperlink>
        </w:p>
        <w:p w14:paraId="0D647D2D" w14:textId="77777777" w:rsidR="00940635" w:rsidRPr="00D36AFD" w:rsidRDefault="00000000">
          <w:pPr>
            <w:pBdr>
              <w:top w:val="nil"/>
              <w:left w:val="nil"/>
              <w:bottom w:val="nil"/>
              <w:right w:val="nil"/>
              <w:between w:val="nil"/>
            </w:pBdr>
            <w:tabs>
              <w:tab w:val="right" w:pos="9016"/>
            </w:tabs>
            <w:spacing w:after="100"/>
            <w:ind w:left="220"/>
            <w:rPr>
              <w:rFonts w:ascii="Times New Roman" w:eastAsia="Times New Roman" w:hAnsi="Times New Roman" w:cs="Times New Roman"/>
              <w:color w:val="000000"/>
              <w:sz w:val="24"/>
              <w:szCs w:val="24"/>
            </w:rPr>
          </w:pPr>
          <w:hyperlink w:anchor="_heading=h.tyjcwt">
            <w:r w:rsidR="00081B51" w:rsidRPr="00D36AFD">
              <w:rPr>
                <w:rFonts w:ascii="Times New Roman" w:eastAsia="Times New Roman" w:hAnsi="Times New Roman" w:cs="Times New Roman"/>
                <w:color w:val="000000"/>
                <w:sz w:val="24"/>
                <w:szCs w:val="24"/>
              </w:rPr>
              <w:t>General Objectives</w:t>
            </w:r>
            <w:r w:rsidR="00081B51" w:rsidRPr="00D36AFD">
              <w:rPr>
                <w:rFonts w:ascii="Times New Roman" w:eastAsia="Times New Roman" w:hAnsi="Times New Roman" w:cs="Times New Roman"/>
                <w:color w:val="000000"/>
                <w:sz w:val="24"/>
                <w:szCs w:val="24"/>
              </w:rPr>
              <w:tab/>
              <w:t>12</w:t>
            </w:r>
          </w:hyperlink>
        </w:p>
        <w:p w14:paraId="6322EE27" w14:textId="77777777" w:rsidR="00940635" w:rsidRPr="00D36AFD" w:rsidRDefault="00000000">
          <w:pPr>
            <w:pBdr>
              <w:top w:val="nil"/>
              <w:left w:val="nil"/>
              <w:bottom w:val="nil"/>
              <w:right w:val="nil"/>
              <w:between w:val="nil"/>
            </w:pBdr>
            <w:tabs>
              <w:tab w:val="right" w:pos="9016"/>
            </w:tabs>
            <w:spacing w:after="100"/>
            <w:ind w:left="220"/>
            <w:rPr>
              <w:rFonts w:ascii="Times New Roman" w:eastAsia="Times New Roman" w:hAnsi="Times New Roman" w:cs="Times New Roman"/>
              <w:color w:val="000000"/>
              <w:sz w:val="24"/>
              <w:szCs w:val="24"/>
            </w:rPr>
          </w:pPr>
          <w:hyperlink w:anchor="_heading=h.3dy6vkm">
            <w:r w:rsidR="00081B51" w:rsidRPr="00D36AFD">
              <w:rPr>
                <w:rFonts w:ascii="Times New Roman" w:eastAsia="Times New Roman" w:hAnsi="Times New Roman" w:cs="Times New Roman"/>
                <w:color w:val="000000"/>
                <w:sz w:val="24"/>
                <w:szCs w:val="24"/>
              </w:rPr>
              <w:t>Project Specific Objectives</w:t>
            </w:r>
            <w:r w:rsidR="00081B51" w:rsidRPr="00D36AFD">
              <w:rPr>
                <w:rFonts w:ascii="Times New Roman" w:eastAsia="Times New Roman" w:hAnsi="Times New Roman" w:cs="Times New Roman"/>
                <w:color w:val="000000"/>
                <w:sz w:val="24"/>
                <w:szCs w:val="24"/>
              </w:rPr>
              <w:tab/>
              <w:t>12</w:t>
            </w:r>
          </w:hyperlink>
        </w:p>
        <w:p w14:paraId="4E1740F5" w14:textId="77777777" w:rsidR="00940635" w:rsidRPr="00D36AFD" w:rsidRDefault="00000000">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heading=h.1t3h5sf">
            <w:r w:rsidR="00081B51" w:rsidRPr="00D36AFD">
              <w:rPr>
                <w:rFonts w:ascii="Times New Roman" w:eastAsia="Times New Roman" w:hAnsi="Times New Roman" w:cs="Times New Roman"/>
                <w:color w:val="000000"/>
                <w:sz w:val="24"/>
                <w:szCs w:val="24"/>
              </w:rPr>
              <w:t>Research questions</w:t>
            </w:r>
            <w:r w:rsidR="00081B51" w:rsidRPr="00D36AFD">
              <w:rPr>
                <w:rFonts w:ascii="Times New Roman" w:eastAsia="Times New Roman" w:hAnsi="Times New Roman" w:cs="Times New Roman"/>
                <w:color w:val="000000"/>
                <w:sz w:val="24"/>
                <w:szCs w:val="24"/>
              </w:rPr>
              <w:tab/>
              <w:t>12</w:t>
            </w:r>
          </w:hyperlink>
        </w:p>
        <w:p w14:paraId="6D23DB55" w14:textId="77777777" w:rsidR="00940635" w:rsidRPr="00D36AFD" w:rsidRDefault="00000000">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heading=h.4d34og8">
            <w:r w:rsidR="00081B51" w:rsidRPr="00D36AFD">
              <w:rPr>
                <w:rFonts w:ascii="Times New Roman" w:eastAsia="Times New Roman" w:hAnsi="Times New Roman" w:cs="Times New Roman"/>
                <w:color w:val="000000"/>
                <w:sz w:val="24"/>
                <w:szCs w:val="24"/>
              </w:rPr>
              <w:t>Conceptual framework</w:t>
            </w:r>
            <w:r w:rsidR="00081B51" w:rsidRPr="00D36AFD">
              <w:rPr>
                <w:rFonts w:ascii="Times New Roman" w:eastAsia="Times New Roman" w:hAnsi="Times New Roman" w:cs="Times New Roman"/>
                <w:color w:val="000000"/>
                <w:sz w:val="24"/>
                <w:szCs w:val="24"/>
              </w:rPr>
              <w:tab/>
              <w:t>13</w:t>
            </w:r>
          </w:hyperlink>
        </w:p>
        <w:p w14:paraId="13A22E0A" w14:textId="77777777" w:rsidR="00940635" w:rsidRPr="00D36AFD" w:rsidRDefault="00000000">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heading=h.2s8eyo1">
            <w:r w:rsidR="00081B51" w:rsidRPr="00D36AFD">
              <w:rPr>
                <w:rFonts w:ascii="Times New Roman" w:eastAsia="Times New Roman" w:hAnsi="Times New Roman" w:cs="Times New Roman"/>
                <w:color w:val="000000"/>
                <w:sz w:val="24"/>
                <w:szCs w:val="24"/>
              </w:rPr>
              <w:t>Methodology</w:t>
            </w:r>
            <w:r w:rsidR="00081B51" w:rsidRPr="00D36AFD">
              <w:rPr>
                <w:rFonts w:ascii="Times New Roman" w:eastAsia="Times New Roman" w:hAnsi="Times New Roman" w:cs="Times New Roman"/>
                <w:color w:val="000000"/>
                <w:sz w:val="24"/>
                <w:szCs w:val="24"/>
              </w:rPr>
              <w:tab/>
              <w:t>14</w:t>
            </w:r>
          </w:hyperlink>
        </w:p>
        <w:p w14:paraId="4FCCE74F" w14:textId="77777777" w:rsidR="00940635" w:rsidRPr="00D36AFD" w:rsidRDefault="00000000">
          <w:pPr>
            <w:pBdr>
              <w:top w:val="nil"/>
              <w:left w:val="nil"/>
              <w:bottom w:val="nil"/>
              <w:right w:val="nil"/>
              <w:between w:val="nil"/>
            </w:pBdr>
            <w:tabs>
              <w:tab w:val="right" w:pos="9016"/>
            </w:tabs>
            <w:spacing w:after="100"/>
            <w:ind w:left="220"/>
            <w:rPr>
              <w:rFonts w:ascii="Times New Roman" w:eastAsia="Times New Roman" w:hAnsi="Times New Roman" w:cs="Times New Roman"/>
              <w:color w:val="000000"/>
              <w:sz w:val="24"/>
              <w:szCs w:val="24"/>
            </w:rPr>
          </w:pPr>
          <w:hyperlink w:anchor="_heading=h.17dp8vu">
            <w:r w:rsidR="00081B51" w:rsidRPr="00D36AFD">
              <w:rPr>
                <w:rFonts w:ascii="Times New Roman" w:eastAsia="Times New Roman" w:hAnsi="Times New Roman" w:cs="Times New Roman"/>
                <w:color w:val="000000"/>
                <w:sz w:val="24"/>
                <w:szCs w:val="24"/>
              </w:rPr>
              <w:t>Study design and Study Participants</w:t>
            </w:r>
            <w:r w:rsidR="00081B51" w:rsidRPr="00D36AFD">
              <w:rPr>
                <w:rFonts w:ascii="Times New Roman" w:eastAsia="Times New Roman" w:hAnsi="Times New Roman" w:cs="Times New Roman"/>
                <w:color w:val="000000"/>
                <w:sz w:val="24"/>
                <w:szCs w:val="24"/>
              </w:rPr>
              <w:tab/>
              <w:t>14</w:t>
            </w:r>
          </w:hyperlink>
        </w:p>
        <w:p w14:paraId="02D2ABF4" w14:textId="77777777" w:rsidR="00940635" w:rsidRPr="00D36AFD" w:rsidRDefault="00000000">
          <w:pPr>
            <w:pBdr>
              <w:top w:val="nil"/>
              <w:left w:val="nil"/>
              <w:bottom w:val="nil"/>
              <w:right w:val="nil"/>
              <w:between w:val="nil"/>
            </w:pBdr>
            <w:tabs>
              <w:tab w:val="right" w:pos="9016"/>
            </w:tabs>
            <w:spacing w:after="100"/>
            <w:ind w:left="220"/>
            <w:rPr>
              <w:rFonts w:ascii="Times New Roman" w:eastAsia="Times New Roman" w:hAnsi="Times New Roman" w:cs="Times New Roman"/>
              <w:color w:val="000000"/>
              <w:sz w:val="24"/>
              <w:szCs w:val="24"/>
            </w:rPr>
          </w:pPr>
          <w:hyperlink w:anchor="_heading=h.3rdcrjn">
            <w:r w:rsidR="00081B51" w:rsidRPr="00D36AFD">
              <w:rPr>
                <w:rFonts w:ascii="Times New Roman" w:eastAsia="Times New Roman" w:hAnsi="Times New Roman" w:cs="Times New Roman"/>
                <w:color w:val="000000"/>
                <w:sz w:val="24"/>
                <w:szCs w:val="24"/>
              </w:rPr>
              <w:t>Study Setting</w:t>
            </w:r>
            <w:r w:rsidR="00081B51" w:rsidRPr="00D36AFD">
              <w:rPr>
                <w:rFonts w:ascii="Times New Roman" w:eastAsia="Times New Roman" w:hAnsi="Times New Roman" w:cs="Times New Roman"/>
                <w:color w:val="000000"/>
                <w:sz w:val="24"/>
                <w:szCs w:val="24"/>
              </w:rPr>
              <w:tab/>
              <w:t>20</w:t>
            </w:r>
          </w:hyperlink>
        </w:p>
        <w:p w14:paraId="671B527B" w14:textId="77777777" w:rsidR="00940635" w:rsidRPr="00D36AFD" w:rsidRDefault="00000000">
          <w:pPr>
            <w:pBdr>
              <w:top w:val="nil"/>
              <w:left w:val="nil"/>
              <w:bottom w:val="nil"/>
              <w:right w:val="nil"/>
              <w:between w:val="nil"/>
            </w:pBdr>
            <w:tabs>
              <w:tab w:val="right" w:pos="9016"/>
            </w:tabs>
            <w:spacing w:after="100"/>
            <w:ind w:left="220"/>
            <w:rPr>
              <w:rFonts w:ascii="Times New Roman" w:eastAsia="Times New Roman" w:hAnsi="Times New Roman" w:cs="Times New Roman"/>
              <w:color w:val="000000"/>
              <w:sz w:val="24"/>
              <w:szCs w:val="24"/>
            </w:rPr>
          </w:pPr>
          <w:hyperlink w:anchor="_heading=h.26in1rg">
            <w:r w:rsidR="00081B51" w:rsidRPr="00D36AFD">
              <w:rPr>
                <w:rFonts w:ascii="Times New Roman" w:eastAsia="Times New Roman" w:hAnsi="Times New Roman" w:cs="Times New Roman"/>
                <w:color w:val="000000"/>
                <w:sz w:val="24"/>
                <w:szCs w:val="24"/>
              </w:rPr>
              <w:t>Data collection processes</w:t>
            </w:r>
            <w:r w:rsidR="00081B51" w:rsidRPr="00D36AFD">
              <w:rPr>
                <w:rFonts w:ascii="Times New Roman" w:eastAsia="Times New Roman" w:hAnsi="Times New Roman" w:cs="Times New Roman"/>
                <w:color w:val="000000"/>
                <w:sz w:val="24"/>
                <w:szCs w:val="24"/>
              </w:rPr>
              <w:tab/>
              <w:t>23</w:t>
            </w:r>
          </w:hyperlink>
        </w:p>
        <w:p w14:paraId="1E382449" w14:textId="77777777" w:rsidR="00940635" w:rsidRPr="00D36AFD" w:rsidRDefault="00000000">
          <w:pPr>
            <w:pBdr>
              <w:top w:val="nil"/>
              <w:left w:val="nil"/>
              <w:bottom w:val="nil"/>
              <w:right w:val="nil"/>
              <w:between w:val="nil"/>
            </w:pBdr>
            <w:tabs>
              <w:tab w:val="right" w:pos="9016"/>
            </w:tabs>
            <w:spacing w:after="100"/>
            <w:ind w:left="220"/>
            <w:rPr>
              <w:rFonts w:ascii="Times New Roman" w:eastAsia="Times New Roman" w:hAnsi="Times New Roman" w:cs="Times New Roman"/>
              <w:color w:val="000000"/>
              <w:sz w:val="24"/>
              <w:szCs w:val="24"/>
            </w:rPr>
          </w:pPr>
          <w:hyperlink w:anchor="_heading=h.lnxbz9">
            <w:r w:rsidR="00081B51" w:rsidRPr="00D36AFD">
              <w:rPr>
                <w:rFonts w:ascii="Times New Roman" w:eastAsia="Times New Roman" w:hAnsi="Times New Roman" w:cs="Times New Roman"/>
                <w:color w:val="000000"/>
                <w:sz w:val="24"/>
                <w:szCs w:val="24"/>
              </w:rPr>
              <w:t>Data management</w:t>
            </w:r>
            <w:r w:rsidR="00081B51" w:rsidRPr="00D36AFD">
              <w:rPr>
                <w:rFonts w:ascii="Times New Roman" w:eastAsia="Times New Roman" w:hAnsi="Times New Roman" w:cs="Times New Roman"/>
                <w:color w:val="000000"/>
                <w:sz w:val="24"/>
                <w:szCs w:val="24"/>
              </w:rPr>
              <w:tab/>
              <w:t>24</w:t>
            </w:r>
          </w:hyperlink>
        </w:p>
        <w:p w14:paraId="6AD4C8B4" w14:textId="77777777" w:rsidR="00940635" w:rsidRPr="00D36AFD" w:rsidRDefault="00000000">
          <w:pPr>
            <w:pBdr>
              <w:top w:val="nil"/>
              <w:left w:val="nil"/>
              <w:bottom w:val="nil"/>
              <w:right w:val="nil"/>
              <w:between w:val="nil"/>
            </w:pBdr>
            <w:tabs>
              <w:tab w:val="right" w:pos="9016"/>
            </w:tabs>
            <w:spacing w:after="100"/>
            <w:ind w:left="220"/>
            <w:rPr>
              <w:rFonts w:ascii="Times New Roman" w:eastAsia="Times New Roman" w:hAnsi="Times New Roman" w:cs="Times New Roman"/>
              <w:color w:val="000000"/>
              <w:sz w:val="24"/>
              <w:szCs w:val="24"/>
            </w:rPr>
          </w:pPr>
          <w:hyperlink w:anchor="_heading=h.1ksv4uv">
            <w:r w:rsidR="00081B51" w:rsidRPr="00D36AFD">
              <w:rPr>
                <w:rFonts w:ascii="Times New Roman" w:eastAsia="Times New Roman" w:hAnsi="Times New Roman" w:cs="Times New Roman"/>
                <w:color w:val="000000"/>
                <w:sz w:val="24"/>
                <w:szCs w:val="24"/>
              </w:rPr>
              <w:t>Data analysis</w:t>
            </w:r>
            <w:r w:rsidR="00081B51" w:rsidRPr="00D36AFD">
              <w:rPr>
                <w:rFonts w:ascii="Times New Roman" w:eastAsia="Times New Roman" w:hAnsi="Times New Roman" w:cs="Times New Roman"/>
                <w:color w:val="000000"/>
                <w:sz w:val="24"/>
                <w:szCs w:val="24"/>
              </w:rPr>
              <w:tab/>
              <w:t>25</w:t>
            </w:r>
          </w:hyperlink>
        </w:p>
        <w:p w14:paraId="00248679" w14:textId="77777777" w:rsidR="00940635" w:rsidRPr="00D36AFD" w:rsidRDefault="00000000">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heading=h.44sinio">
            <w:r w:rsidR="00081B51" w:rsidRPr="00D36AFD">
              <w:rPr>
                <w:rFonts w:ascii="Times New Roman" w:eastAsia="Times New Roman" w:hAnsi="Times New Roman" w:cs="Times New Roman"/>
                <w:color w:val="000000"/>
                <w:sz w:val="24"/>
                <w:szCs w:val="24"/>
              </w:rPr>
              <w:t>Ethical Considerations</w:t>
            </w:r>
            <w:r w:rsidR="00081B51" w:rsidRPr="00D36AFD">
              <w:rPr>
                <w:rFonts w:ascii="Times New Roman" w:eastAsia="Times New Roman" w:hAnsi="Times New Roman" w:cs="Times New Roman"/>
                <w:color w:val="000000"/>
                <w:sz w:val="24"/>
                <w:szCs w:val="24"/>
              </w:rPr>
              <w:tab/>
              <w:t>26</w:t>
            </w:r>
          </w:hyperlink>
        </w:p>
        <w:p w14:paraId="144784C9" w14:textId="77777777" w:rsidR="00940635" w:rsidRPr="00D36AFD" w:rsidRDefault="00000000">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heading=h.z337ya">
            <w:r w:rsidR="00081B51" w:rsidRPr="00D36AFD">
              <w:rPr>
                <w:rFonts w:ascii="Times New Roman" w:eastAsia="Times New Roman" w:hAnsi="Times New Roman" w:cs="Times New Roman"/>
                <w:color w:val="000000"/>
                <w:sz w:val="24"/>
                <w:szCs w:val="24"/>
              </w:rPr>
              <w:t>Risks and Mitigation measures</w:t>
            </w:r>
            <w:r w:rsidR="00081B51" w:rsidRPr="00D36AFD">
              <w:rPr>
                <w:rFonts w:ascii="Times New Roman" w:eastAsia="Times New Roman" w:hAnsi="Times New Roman" w:cs="Times New Roman"/>
                <w:color w:val="000000"/>
                <w:sz w:val="24"/>
                <w:szCs w:val="24"/>
              </w:rPr>
              <w:tab/>
              <w:t>28</w:t>
            </w:r>
          </w:hyperlink>
        </w:p>
        <w:p w14:paraId="16BDC8AC" w14:textId="77777777" w:rsidR="00940635" w:rsidRPr="00D36AFD" w:rsidRDefault="00000000">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heading=h.3j2qqm3">
            <w:r w:rsidR="00081B51" w:rsidRPr="00D36AFD">
              <w:rPr>
                <w:rFonts w:ascii="Times New Roman" w:eastAsia="Times New Roman" w:hAnsi="Times New Roman" w:cs="Times New Roman"/>
                <w:color w:val="000000"/>
                <w:sz w:val="24"/>
                <w:szCs w:val="24"/>
              </w:rPr>
              <w:t>Communicating findings of the study</w:t>
            </w:r>
            <w:r w:rsidR="00081B51" w:rsidRPr="00D36AFD">
              <w:rPr>
                <w:rFonts w:ascii="Times New Roman" w:eastAsia="Times New Roman" w:hAnsi="Times New Roman" w:cs="Times New Roman"/>
                <w:color w:val="000000"/>
                <w:sz w:val="24"/>
                <w:szCs w:val="24"/>
              </w:rPr>
              <w:tab/>
              <w:t>28</w:t>
            </w:r>
          </w:hyperlink>
        </w:p>
        <w:p w14:paraId="09C8326E" w14:textId="77777777" w:rsidR="00940635" w:rsidRPr="00D36AFD" w:rsidRDefault="00000000">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heading=h.1y810tw">
            <w:r w:rsidR="00081B51" w:rsidRPr="00D36AFD">
              <w:rPr>
                <w:rFonts w:ascii="Times New Roman" w:eastAsia="Times New Roman" w:hAnsi="Times New Roman" w:cs="Times New Roman"/>
                <w:color w:val="000000"/>
                <w:sz w:val="24"/>
                <w:szCs w:val="24"/>
              </w:rPr>
              <w:t>Management and organization of the study</w:t>
            </w:r>
            <w:r w:rsidR="00081B51" w:rsidRPr="00D36AFD">
              <w:rPr>
                <w:rFonts w:ascii="Times New Roman" w:eastAsia="Times New Roman" w:hAnsi="Times New Roman" w:cs="Times New Roman"/>
                <w:color w:val="000000"/>
                <w:sz w:val="24"/>
                <w:szCs w:val="24"/>
              </w:rPr>
              <w:tab/>
              <w:t>30</w:t>
            </w:r>
          </w:hyperlink>
        </w:p>
        <w:p w14:paraId="6043579E" w14:textId="77777777" w:rsidR="00940635" w:rsidRPr="00D36AFD" w:rsidRDefault="00000000">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heading=h.4i7ojhp">
            <w:r w:rsidR="00081B51" w:rsidRPr="00D36AFD">
              <w:rPr>
                <w:rFonts w:ascii="Times New Roman" w:eastAsia="Times New Roman" w:hAnsi="Times New Roman" w:cs="Times New Roman"/>
                <w:color w:val="000000"/>
                <w:sz w:val="24"/>
                <w:szCs w:val="24"/>
              </w:rPr>
              <w:t>Budget</w:t>
            </w:r>
            <w:r w:rsidR="00081B51" w:rsidRPr="00D36AFD">
              <w:rPr>
                <w:rFonts w:ascii="Times New Roman" w:eastAsia="Times New Roman" w:hAnsi="Times New Roman" w:cs="Times New Roman"/>
                <w:color w:val="000000"/>
                <w:sz w:val="24"/>
                <w:szCs w:val="24"/>
              </w:rPr>
              <w:tab/>
              <w:t>31</w:t>
            </w:r>
          </w:hyperlink>
        </w:p>
        <w:p w14:paraId="12853A80" w14:textId="77777777" w:rsidR="00940635" w:rsidRPr="00D36AFD" w:rsidRDefault="00000000">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heading=h.2xcytpi">
            <w:r w:rsidR="00081B51" w:rsidRPr="00D36AFD">
              <w:rPr>
                <w:rFonts w:ascii="Times New Roman" w:eastAsia="Times New Roman" w:hAnsi="Times New Roman" w:cs="Times New Roman"/>
                <w:color w:val="000000"/>
                <w:sz w:val="24"/>
                <w:szCs w:val="24"/>
              </w:rPr>
              <w:t>Study timelines</w:t>
            </w:r>
            <w:r w:rsidR="00081B51" w:rsidRPr="00D36AFD">
              <w:rPr>
                <w:rFonts w:ascii="Times New Roman" w:eastAsia="Times New Roman" w:hAnsi="Times New Roman" w:cs="Times New Roman"/>
                <w:color w:val="000000"/>
                <w:sz w:val="24"/>
                <w:szCs w:val="24"/>
              </w:rPr>
              <w:tab/>
              <w:t>32</w:t>
            </w:r>
          </w:hyperlink>
        </w:p>
        <w:p w14:paraId="1C21EDFC" w14:textId="77777777" w:rsidR="00940635" w:rsidRPr="00D36AFD" w:rsidRDefault="00000000">
          <w:pPr>
            <w:pBdr>
              <w:top w:val="nil"/>
              <w:left w:val="nil"/>
              <w:bottom w:val="nil"/>
              <w:right w:val="nil"/>
              <w:between w:val="nil"/>
            </w:pBdr>
            <w:tabs>
              <w:tab w:val="right" w:pos="9016"/>
            </w:tabs>
            <w:spacing w:after="100"/>
            <w:rPr>
              <w:rFonts w:ascii="Times New Roman" w:eastAsia="Times New Roman" w:hAnsi="Times New Roman" w:cs="Times New Roman"/>
              <w:color w:val="000000"/>
              <w:sz w:val="24"/>
              <w:szCs w:val="24"/>
            </w:rPr>
          </w:pPr>
          <w:hyperlink w:anchor="_heading=h.1ci93xb">
            <w:r w:rsidR="00081B51" w:rsidRPr="00D36AFD">
              <w:rPr>
                <w:rFonts w:ascii="Times New Roman" w:eastAsia="Times New Roman" w:hAnsi="Times New Roman" w:cs="Times New Roman"/>
                <w:color w:val="000000"/>
                <w:sz w:val="24"/>
                <w:szCs w:val="24"/>
              </w:rPr>
              <w:t>APPENDICES</w:t>
            </w:r>
            <w:r w:rsidR="00081B51" w:rsidRPr="00D36AFD">
              <w:rPr>
                <w:rFonts w:ascii="Times New Roman" w:eastAsia="Times New Roman" w:hAnsi="Times New Roman" w:cs="Times New Roman"/>
                <w:color w:val="000000"/>
                <w:sz w:val="24"/>
                <w:szCs w:val="24"/>
              </w:rPr>
              <w:tab/>
              <w:t>39</w:t>
            </w:r>
          </w:hyperlink>
        </w:p>
        <w:p w14:paraId="5CB399D6" w14:textId="77777777" w:rsidR="00940635" w:rsidRPr="00D36AFD" w:rsidRDefault="00000000">
          <w:pPr>
            <w:pBdr>
              <w:top w:val="nil"/>
              <w:left w:val="nil"/>
              <w:bottom w:val="nil"/>
              <w:right w:val="nil"/>
              <w:between w:val="nil"/>
            </w:pBdr>
            <w:tabs>
              <w:tab w:val="right" w:pos="9016"/>
            </w:tabs>
            <w:spacing w:after="100"/>
            <w:ind w:left="220"/>
            <w:rPr>
              <w:rFonts w:ascii="Times New Roman" w:eastAsia="Times New Roman" w:hAnsi="Times New Roman" w:cs="Times New Roman"/>
              <w:color w:val="000000"/>
              <w:sz w:val="24"/>
              <w:szCs w:val="24"/>
            </w:rPr>
          </w:pPr>
          <w:hyperlink w:anchor="_heading=h.3whwml4">
            <w:r w:rsidR="00081B51" w:rsidRPr="00D36AFD">
              <w:rPr>
                <w:rFonts w:ascii="Times New Roman" w:eastAsia="Times New Roman" w:hAnsi="Times New Roman" w:cs="Times New Roman"/>
                <w:color w:val="000000"/>
                <w:sz w:val="24"/>
                <w:szCs w:val="24"/>
              </w:rPr>
              <w:t>Study Tools</w:t>
            </w:r>
            <w:r w:rsidR="00081B51" w:rsidRPr="00D36AFD">
              <w:rPr>
                <w:rFonts w:ascii="Times New Roman" w:eastAsia="Times New Roman" w:hAnsi="Times New Roman" w:cs="Times New Roman"/>
                <w:color w:val="000000"/>
                <w:sz w:val="24"/>
                <w:szCs w:val="24"/>
              </w:rPr>
              <w:tab/>
              <w:t>39</w:t>
            </w:r>
          </w:hyperlink>
        </w:p>
        <w:p w14:paraId="712196E8" w14:textId="77777777" w:rsidR="00940635" w:rsidRPr="00D36AFD" w:rsidRDefault="00000000">
          <w:pPr>
            <w:pBdr>
              <w:top w:val="nil"/>
              <w:left w:val="nil"/>
              <w:bottom w:val="nil"/>
              <w:right w:val="nil"/>
              <w:between w:val="nil"/>
            </w:pBdr>
            <w:tabs>
              <w:tab w:val="right" w:pos="9016"/>
            </w:tabs>
            <w:spacing w:after="100"/>
            <w:ind w:left="220"/>
            <w:rPr>
              <w:rFonts w:ascii="Times New Roman" w:eastAsia="Times New Roman" w:hAnsi="Times New Roman" w:cs="Times New Roman"/>
              <w:color w:val="000000"/>
              <w:sz w:val="24"/>
              <w:szCs w:val="24"/>
            </w:rPr>
          </w:pPr>
          <w:hyperlink w:anchor="_heading=h.2bn6wsx">
            <w:r w:rsidR="00081B51" w:rsidRPr="00D36AFD">
              <w:rPr>
                <w:rFonts w:ascii="Times New Roman" w:eastAsia="Times New Roman" w:hAnsi="Times New Roman" w:cs="Times New Roman"/>
                <w:color w:val="000000"/>
                <w:sz w:val="24"/>
                <w:szCs w:val="24"/>
              </w:rPr>
              <w:t>Consent Forms</w:t>
            </w:r>
            <w:r w:rsidR="00081B51" w:rsidRPr="00D36AFD">
              <w:rPr>
                <w:rFonts w:ascii="Times New Roman" w:eastAsia="Times New Roman" w:hAnsi="Times New Roman" w:cs="Times New Roman"/>
                <w:color w:val="000000"/>
                <w:sz w:val="24"/>
                <w:szCs w:val="24"/>
              </w:rPr>
              <w:tab/>
              <w:t>39</w:t>
            </w:r>
          </w:hyperlink>
        </w:p>
        <w:p w14:paraId="30A73F43" w14:textId="77777777" w:rsidR="00940635" w:rsidRPr="00D36AFD" w:rsidRDefault="00000000">
          <w:pPr>
            <w:pBdr>
              <w:top w:val="nil"/>
              <w:left w:val="nil"/>
              <w:bottom w:val="nil"/>
              <w:right w:val="nil"/>
              <w:between w:val="nil"/>
            </w:pBdr>
            <w:tabs>
              <w:tab w:val="right" w:pos="9016"/>
            </w:tabs>
            <w:spacing w:after="100"/>
            <w:ind w:left="220"/>
            <w:rPr>
              <w:rFonts w:ascii="Times New Roman" w:eastAsia="Times New Roman" w:hAnsi="Times New Roman" w:cs="Times New Roman"/>
              <w:color w:val="000000"/>
              <w:sz w:val="24"/>
              <w:szCs w:val="24"/>
            </w:rPr>
          </w:pPr>
          <w:hyperlink w:anchor="_heading=h.qsh70q">
            <w:r w:rsidR="00081B51" w:rsidRPr="00D36AFD">
              <w:rPr>
                <w:rFonts w:ascii="Times New Roman" w:eastAsia="Times New Roman" w:hAnsi="Times New Roman" w:cs="Times New Roman"/>
                <w:color w:val="000000"/>
                <w:sz w:val="24"/>
                <w:szCs w:val="24"/>
              </w:rPr>
              <w:t>CVs of Study Team</w:t>
            </w:r>
            <w:r w:rsidR="00081B51" w:rsidRPr="00D36AFD">
              <w:rPr>
                <w:rFonts w:ascii="Times New Roman" w:eastAsia="Times New Roman" w:hAnsi="Times New Roman" w:cs="Times New Roman"/>
                <w:color w:val="000000"/>
                <w:sz w:val="24"/>
                <w:szCs w:val="24"/>
              </w:rPr>
              <w:tab/>
              <w:t>39</w:t>
            </w:r>
          </w:hyperlink>
        </w:p>
        <w:p w14:paraId="1B32C648" w14:textId="77777777" w:rsidR="00940635" w:rsidRPr="00D36AFD" w:rsidRDefault="00000000">
          <w:pPr>
            <w:pBdr>
              <w:top w:val="nil"/>
              <w:left w:val="nil"/>
              <w:bottom w:val="nil"/>
              <w:right w:val="nil"/>
              <w:between w:val="nil"/>
            </w:pBdr>
            <w:tabs>
              <w:tab w:val="right" w:pos="9016"/>
            </w:tabs>
            <w:spacing w:after="100"/>
            <w:ind w:left="220"/>
            <w:rPr>
              <w:rFonts w:ascii="Times New Roman" w:eastAsia="Times New Roman" w:hAnsi="Times New Roman" w:cs="Times New Roman"/>
              <w:color w:val="000000"/>
              <w:sz w:val="24"/>
              <w:szCs w:val="24"/>
            </w:rPr>
          </w:pPr>
          <w:hyperlink w:anchor="_heading=h.3as4poj">
            <w:r w:rsidR="00081B51" w:rsidRPr="00D36AFD">
              <w:rPr>
                <w:rFonts w:ascii="Times New Roman" w:eastAsia="Times New Roman" w:hAnsi="Times New Roman" w:cs="Times New Roman"/>
                <w:color w:val="000000"/>
                <w:sz w:val="24"/>
                <w:szCs w:val="24"/>
              </w:rPr>
              <w:t>Ethics Certificates of Study Team</w:t>
            </w:r>
            <w:r w:rsidR="00081B51" w:rsidRPr="00D36AFD">
              <w:rPr>
                <w:rFonts w:ascii="Times New Roman" w:eastAsia="Times New Roman" w:hAnsi="Times New Roman" w:cs="Times New Roman"/>
                <w:color w:val="000000"/>
                <w:sz w:val="24"/>
                <w:szCs w:val="24"/>
              </w:rPr>
              <w:tab/>
              <w:t>39</w:t>
            </w:r>
          </w:hyperlink>
          <w:r w:rsidR="00081B51" w:rsidRPr="00D36AFD">
            <w:fldChar w:fldCharType="end"/>
          </w:r>
        </w:p>
      </w:sdtContent>
    </w:sdt>
    <w:p w14:paraId="05ED82F0" w14:textId="77777777" w:rsidR="00940635" w:rsidRPr="00D36AFD" w:rsidRDefault="00081B51">
      <w:pPr>
        <w:tabs>
          <w:tab w:val="left" w:pos="1980"/>
        </w:tabs>
      </w:pPr>
      <w:r w:rsidRPr="00D36AFD">
        <w:rPr>
          <w:b/>
        </w:rPr>
        <w:tab/>
      </w:r>
    </w:p>
    <w:p w14:paraId="03C4EF4F" w14:textId="77777777" w:rsidR="00940635" w:rsidRPr="00D36AFD" w:rsidRDefault="00081B51">
      <w:pPr>
        <w:spacing w:line="360" w:lineRule="auto"/>
        <w:jc w:val="both"/>
        <w:rPr>
          <w:rFonts w:ascii="Times New Roman" w:eastAsia="Times New Roman" w:hAnsi="Times New Roman" w:cs="Times New Roman"/>
          <w:b/>
          <w:color w:val="000000"/>
          <w:sz w:val="24"/>
          <w:szCs w:val="24"/>
        </w:rPr>
      </w:pPr>
      <w:r w:rsidRPr="00D36AFD">
        <w:br w:type="page"/>
      </w:r>
    </w:p>
    <w:p w14:paraId="351D4D11" w14:textId="77777777" w:rsidR="00940635" w:rsidRPr="00D36AFD" w:rsidRDefault="00081B51">
      <w:pPr>
        <w:spacing w:line="360" w:lineRule="auto"/>
        <w:jc w:val="both"/>
        <w:rPr>
          <w:rFonts w:ascii="Times New Roman" w:eastAsia="Times New Roman" w:hAnsi="Times New Roman" w:cs="Times New Roman"/>
          <w:b/>
          <w:color w:val="000000"/>
          <w:sz w:val="24"/>
          <w:szCs w:val="24"/>
        </w:rPr>
      </w:pPr>
      <w:r w:rsidRPr="00D36AFD">
        <w:rPr>
          <w:rFonts w:ascii="Times New Roman" w:eastAsia="Times New Roman" w:hAnsi="Times New Roman" w:cs="Times New Roman"/>
          <w:b/>
          <w:color w:val="000000"/>
          <w:sz w:val="24"/>
          <w:szCs w:val="24"/>
        </w:rPr>
        <w:lastRenderedPageBreak/>
        <w:t>List of Acronyms</w:t>
      </w:r>
    </w:p>
    <w:p w14:paraId="402254D3" w14:textId="77777777" w:rsidR="00940635" w:rsidRPr="00D36AFD" w:rsidRDefault="00081B51">
      <w:pPr>
        <w:spacing w:after="120" w:line="360" w:lineRule="auto"/>
        <w:ind w:left="1440" w:hanging="1440"/>
        <w:jc w:val="both"/>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APHRC</w:t>
      </w:r>
      <w:r w:rsidRPr="00D36AFD">
        <w:rPr>
          <w:rFonts w:ascii="Times New Roman" w:eastAsia="Times New Roman" w:hAnsi="Times New Roman" w:cs="Times New Roman"/>
          <w:sz w:val="24"/>
          <w:szCs w:val="24"/>
        </w:rPr>
        <w:tab/>
        <w:t>African Population and Health Research Center</w:t>
      </w:r>
    </w:p>
    <w:p w14:paraId="001CFFB8" w14:textId="77777777" w:rsidR="00940635" w:rsidRPr="00D36AFD" w:rsidRDefault="00081B51">
      <w:pPr>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CCHeFS</w:t>
      </w:r>
      <w:r w:rsidRPr="00D36AFD">
        <w:rPr>
          <w:rFonts w:ascii="Times New Roman" w:eastAsia="Times New Roman" w:hAnsi="Times New Roman" w:cs="Times New Roman"/>
          <w:sz w:val="24"/>
          <w:szCs w:val="24"/>
        </w:rPr>
        <w:tab/>
        <w:t>Catalyzing Change for Health and Sustainable Food Systems</w:t>
      </w:r>
    </w:p>
    <w:p w14:paraId="738AD9E2" w14:textId="77777777" w:rsidR="00940635" w:rsidRPr="00D36AFD" w:rsidRDefault="00081B51">
      <w:pPr>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DALYs</w:t>
      </w:r>
      <w:r w:rsidRPr="00D36AFD">
        <w:rPr>
          <w:rFonts w:ascii="Times New Roman" w:eastAsia="Times New Roman" w:hAnsi="Times New Roman" w:cs="Times New Roman"/>
          <w:sz w:val="24"/>
          <w:szCs w:val="24"/>
        </w:rPr>
        <w:tab/>
        <w:t>Disability adjusted life years.</w:t>
      </w:r>
    </w:p>
    <w:p w14:paraId="30D59B1B" w14:textId="77777777" w:rsidR="00940635" w:rsidRPr="00D36AFD" w:rsidRDefault="00081B51">
      <w:pPr>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DBM</w:t>
      </w:r>
      <w:r w:rsidRPr="00D36AFD">
        <w:rPr>
          <w:rFonts w:ascii="Times New Roman" w:eastAsia="Times New Roman" w:hAnsi="Times New Roman" w:cs="Times New Roman"/>
          <w:sz w:val="24"/>
          <w:szCs w:val="24"/>
        </w:rPr>
        <w:tab/>
      </w:r>
      <w:r w:rsidRPr="00D36AFD">
        <w:rPr>
          <w:rFonts w:ascii="Times New Roman" w:eastAsia="Times New Roman" w:hAnsi="Times New Roman" w:cs="Times New Roman"/>
          <w:sz w:val="24"/>
          <w:szCs w:val="24"/>
        </w:rPr>
        <w:tab/>
        <w:t>Double Burden of Malnutrition</w:t>
      </w:r>
    </w:p>
    <w:p w14:paraId="0DAC212B" w14:textId="77777777" w:rsidR="00940635" w:rsidRPr="00D36AFD" w:rsidRDefault="00081B51">
      <w:pPr>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DR-NCDs</w:t>
      </w:r>
      <w:r w:rsidRPr="00D36AFD">
        <w:rPr>
          <w:rFonts w:ascii="Times New Roman" w:eastAsia="Times New Roman" w:hAnsi="Times New Roman" w:cs="Times New Roman"/>
          <w:color w:val="000000"/>
          <w:sz w:val="24"/>
          <w:szCs w:val="24"/>
        </w:rPr>
        <w:tab/>
        <w:t xml:space="preserve">Diet-related non-communicable diseases </w:t>
      </w:r>
    </w:p>
    <w:p w14:paraId="1F81379B" w14:textId="77777777" w:rsidR="00940635" w:rsidRPr="00D36AFD" w:rsidRDefault="00081B51">
      <w:pPr>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FEP</w:t>
      </w:r>
      <w:r w:rsidRPr="00D36AFD">
        <w:rPr>
          <w:rFonts w:ascii="Times New Roman" w:eastAsia="Times New Roman" w:hAnsi="Times New Roman" w:cs="Times New Roman"/>
          <w:sz w:val="24"/>
          <w:szCs w:val="24"/>
        </w:rPr>
        <w:tab/>
      </w:r>
      <w:r w:rsidRPr="00D36AFD">
        <w:rPr>
          <w:rFonts w:ascii="Times New Roman" w:eastAsia="Times New Roman" w:hAnsi="Times New Roman" w:cs="Times New Roman"/>
          <w:sz w:val="24"/>
          <w:szCs w:val="24"/>
        </w:rPr>
        <w:tab/>
        <w:t>Food Environment Policy-Action</w:t>
      </w:r>
    </w:p>
    <w:p w14:paraId="3B3EE5A3" w14:textId="77777777" w:rsidR="00940635" w:rsidRPr="00D36AFD" w:rsidRDefault="00081B51">
      <w:pPr>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FoPL</w:t>
      </w:r>
      <w:r w:rsidRPr="00D36AFD">
        <w:rPr>
          <w:rFonts w:ascii="Times New Roman" w:eastAsia="Times New Roman" w:hAnsi="Times New Roman" w:cs="Times New Roman"/>
          <w:sz w:val="24"/>
          <w:szCs w:val="24"/>
        </w:rPr>
        <w:tab/>
      </w:r>
      <w:r w:rsidRPr="00D36AFD">
        <w:rPr>
          <w:rFonts w:ascii="Times New Roman" w:eastAsia="Times New Roman" w:hAnsi="Times New Roman" w:cs="Times New Roman"/>
          <w:sz w:val="24"/>
          <w:szCs w:val="24"/>
        </w:rPr>
        <w:tab/>
        <w:t>Front of Pack Label</w:t>
      </w:r>
    </w:p>
    <w:p w14:paraId="76FC7E1F" w14:textId="77777777" w:rsidR="00940635" w:rsidRPr="00D36AFD" w:rsidRDefault="00081B51">
      <w:pPr>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RECAP</w:t>
      </w:r>
      <w:r w:rsidRPr="00D36AFD">
        <w:rPr>
          <w:rFonts w:ascii="Times New Roman" w:eastAsia="Times New Roman" w:hAnsi="Times New Roman" w:cs="Times New Roman"/>
          <w:sz w:val="24"/>
          <w:szCs w:val="24"/>
        </w:rPr>
        <w:tab/>
        <w:t>Regulatory &amp; Fiscal Capacity Building Program</w:t>
      </w:r>
    </w:p>
    <w:p w14:paraId="4F7F5848" w14:textId="77777777" w:rsidR="00940635" w:rsidRPr="00D36AFD" w:rsidRDefault="00081B51">
      <w:pPr>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GMB</w:t>
      </w:r>
      <w:r w:rsidRPr="00D36AFD">
        <w:rPr>
          <w:rFonts w:ascii="Times New Roman" w:eastAsia="Times New Roman" w:hAnsi="Times New Roman" w:cs="Times New Roman"/>
          <w:sz w:val="24"/>
          <w:szCs w:val="24"/>
        </w:rPr>
        <w:tab/>
      </w:r>
      <w:r w:rsidRPr="00D36AFD">
        <w:rPr>
          <w:rFonts w:ascii="Times New Roman" w:eastAsia="Times New Roman" w:hAnsi="Times New Roman" w:cs="Times New Roman"/>
          <w:sz w:val="24"/>
          <w:szCs w:val="24"/>
        </w:rPr>
        <w:tab/>
        <w:t>G</w:t>
      </w:r>
      <w:r w:rsidRPr="00D36AFD">
        <w:rPr>
          <w:rFonts w:ascii="Times New Roman" w:eastAsia="Times New Roman" w:hAnsi="Times New Roman" w:cs="Times New Roman"/>
          <w:color w:val="000000"/>
          <w:sz w:val="24"/>
          <w:szCs w:val="24"/>
        </w:rPr>
        <w:t xml:space="preserve">roup model building </w:t>
      </w:r>
    </w:p>
    <w:p w14:paraId="636AA715" w14:textId="77777777" w:rsidR="00940635" w:rsidRPr="00D36AFD" w:rsidRDefault="00081B51">
      <w:pPr>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IDLO</w:t>
      </w:r>
      <w:r w:rsidRPr="00D36AFD">
        <w:rPr>
          <w:rFonts w:ascii="Times New Roman" w:eastAsia="Times New Roman" w:hAnsi="Times New Roman" w:cs="Times New Roman"/>
          <w:sz w:val="24"/>
          <w:szCs w:val="24"/>
        </w:rPr>
        <w:tab/>
      </w:r>
      <w:r w:rsidRPr="00D36AFD">
        <w:rPr>
          <w:rFonts w:ascii="Times New Roman" w:eastAsia="Times New Roman" w:hAnsi="Times New Roman" w:cs="Times New Roman"/>
          <w:sz w:val="24"/>
          <w:szCs w:val="24"/>
        </w:rPr>
        <w:tab/>
        <w:t>International Development Law Organization</w:t>
      </w:r>
    </w:p>
    <w:p w14:paraId="0D98C42C" w14:textId="77777777" w:rsidR="00940635" w:rsidRPr="00D36AFD" w:rsidRDefault="00081B51">
      <w:pPr>
        <w:tabs>
          <w:tab w:val="left" w:pos="3372"/>
        </w:tabs>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IDRC              International Development Research Centre</w:t>
      </w:r>
      <w:r w:rsidRPr="00D36AFD">
        <w:rPr>
          <w:rFonts w:ascii="Times New Roman" w:eastAsia="Times New Roman" w:hAnsi="Times New Roman" w:cs="Times New Roman"/>
          <w:sz w:val="24"/>
          <w:szCs w:val="24"/>
        </w:rPr>
        <w:tab/>
      </w:r>
    </w:p>
    <w:p w14:paraId="38AA82E8" w14:textId="77777777" w:rsidR="00940635" w:rsidRPr="00D36AFD" w:rsidRDefault="00081B51">
      <w:pPr>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KBS</w:t>
      </w:r>
      <w:r w:rsidRPr="00D36AFD">
        <w:rPr>
          <w:rFonts w:ascii="Times New Roman" w:eastAsia="Times New Roman" w:hAnsi="Times New Roman" w:cs="Times New Roman"/>
          <w:sz w:val="24"/>
          <w:szCs w:val="24"/>
        </w:rPr>
        <w:tab/>
      </w:r>
      <w:r w:rsidRPr="00D36AFD">
        <w:rPr>
          <w:rFonts w:ascii="Times New Roman" w:eastAsia="Times New Roman" w:hAnsi="Times New Roman" w:cs="Times New Roman"/>
          <w:sz w:val="24"/>
          <w:szCs w:val="24"/>
        </w:rPr>
        <w:tab/>
        <w:t>Kenya Bureau of Standards</w:t>
      </w:r>
    </w:p>
    <w:p w14:paraId="006CDD98" w14:textId="77777777" w:rsidR="00940635" w:rsidRPr="00D36AFD" w:rsidRDefault="00081B51">
      <w:pPr>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MOH</w:t>
      </w:r>
      <w:r w:rsidRPr="00D36AFD">
        <w:rPr>
          <w:rFonts w:ascii="Times New Roman" w:eastAsia="Times New Roman" w:hAnsi="Times New Roman" w:cs="Times New Roman"/>
          <w:sz w:val="24"/>
          <w:szCs w:val="24"/>
        </w:rPr>
        <w:tab/>
      </w:r>
      <w:r w:rsidRPr="00D36AFD">
        <w:rPr>
          <w:rFonts w:ascii="Times New Roman" w:eastAsia="Times New Roman" w:hAnsi="Times New Roman" w:cs="Times New Roman"/>
          <w:sz w:val="24"/>
          <w:szCs w:val="24"/>
        </w:rPr>
        <w:tab/>
        <w:t>Ministry of Health</w:t>
      </w:r>
    </w:p>
    <w:p w14:paraId="6B7DC57E" w14:textId="77777777" w:rsidR="00940635" w:rsidRPr="00D36AFD" w:rsidRDefault="00081B51">
      <w:pPr>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NAK</w:t>
      </w:r>
      <w:r w:rsidRPr="00D36AFD">
        <w:rPr>
          <w:rFonts w:ascii="Times New Roman" w:eastAsia="Times New Roman" w:hAnsi="Times New Roman" w:cs="Times New Roman"/>
          <w:sz w:val="24"/>
          <w:szCs w:val="24"/>
        </w:rPr>
        <w:tab/>
      </w:r>
      <w:r w:rsidRPr="00D36AFD">
        <w:rPr>
          <w:rFonts w:ascii="Times New Roman" w:eastAsia="Times New Roman" w:hAnsi="Times New Roman" w:cs="Times New Roman"/>
          <w:sz w:val="24"/>
          <w:szCs w:val="24"/>
        </w:rPr>
        <w:tab/>
        <w:t>Nutrition Association of Kenya</w:t>
      </w:r>
    </w:p>
    <w:p w14:paraId="530E523B" w14:textId="77777777" w:rsidR="00940635" w:rsidRPr="00D36AFD" w:rsidRDefault="00081B51">
      <w:pPr>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NCD</w:t>
      </w:r>
      <w:r w:rsidRPr="00D36AFD">
        <w:rPr>
          <w:rFonts w:ascii="Times New Roman" w:eastAsia="Times New Roman" w:hAnsi="Times New Roman" w:cs="Times New Roman"/>
          <w:sz w:val="24"/>
          <w:szCs w:val="24"/>
        </w:rPr>
        <w:tab/>
      </w:r>
      <w:r w:rsidRPr="00D36AFD">
        <w:rPr>
          <w:rFonts w:ascii="Times New Roman" w:eastAsia="Times New Roman" w:hAnsi="Times New Roman" w:cs="Times New Roman"/>
          <w:sz w:val="24"/>
          <w:szCs w:val="24"/>
        </w:rPr>
        <w:tab/>
        <w:t>Non-Communicable Diseases</w:t>
      </w:r>
    </w:p>
    <w:p w14:paraId="6775968B" w14:textId="77777777" w:rsidR="00940635" w:rsidRPr="00D36AFD" w:rsidRDefault="00081B51">
      <w:pPr>
        <w:rPr>
          <w:rFonts w:ascii="Times New Roman" w:eastAsia="Times New Roman" w:hAnsi="Times New Roman" w:cs="Times New Roman"/>
          <w:sz w:val="24"/>
          <w:szCs w:val="24"/>
        </w:rPr>
      </w:pPr>
      <w:r w:rsidRPr="00D36AFD">
        <w:rPr>
          <w:rFonts w:ascii="Times New Roman" w:eastAsia="Times New Roman" w:hAnsi="Times New Roman" w:cs="Times New Roman"/>
          <w:color w:val="000000"/>
          <w:sz w:val="24"/>
          <w:szCs w:val="24"/>
        </w:rPr>
        <w:t>NPM</w:t>
      </w:r>
      <w:r w:rsidRPr="00D36AFD">
        <w:rPr>
          <w:rFonts w:ascii="Times New Roman" w:eastAsia="Times New Roman" w:hAnsi="Times New Roman" w:cs="Times New Roman"/>
          <w:color w:val="000000"/>
          <w:sz w:val="24"/>
          <w:szCs w:val="24"/>
        </w:rPr>
        <w:tab/>
      </w:r>
      <w:r w:rsidRPr="00D36AFD">
        <w:rPr>
          <w:rFonts w:ascii="Times New Roman" w:eastAsia="Times New Roman" w:hAnsi="Times New Roman" w:cs="Times New Roman"/>
          <w:color w:val="000000"/>
          <w:sz w:val="24"/>
          <w:szCs w:val="24"/>
        </w:rPr>
        <w:tab/>
        <w:t xml:space="preserve">Nutrient profiling model </w:t>
      </w:r>
    </w:p>
    <w:p w14:paraId="251D4F07" w14:textId="77777777" w:rsidR="00940635" w:rsidRPr="00D36AFD" w:rsidRDefault="00081B51">
      <w:pPr>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SSB</w:t>
      </w:r>
      <w:r w:rsidRPr="00D36AFD">
        <w:rPr>
          <w:rFonts w:ascii="Times New Roman" w:eastAsia="Times New Roman" w:hAnsi="Times New Roman" w:cs="Times New Roman"/>
          <w:sz w:val="24"/>
          <w:szCs w:val="24"/>
        </w:rPr>
        <w:tab/>
      </w:r>
      <w:r w:rsidRPr="00D36AFD">
        <w:rPr>
          <w:rFonts w:ascii="Times New Roman" w:eastAsia="Times New Roman" w:hAnsi="Times New Roman" w:cs="Times New Roman"/>
          <w:sz w:val="24"/>
          <w:szCs w:val="24"/>
        </w:rPr>
        <w:tab/>
        <w:t>Sugar Sweetened Beverages</w:t>
      </w:r>
    </w:p>
    <w:p w14:paraId="706D9509" w14:textId="77777777" w:rsidR="00940635" w:rsidRPr="00D36AFD" w:rsidRDefault="00081B51">
      <w:pPr>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UNICEF</w:t>
      </w:r>
      <w:r w:rsidRPr="00D36AFD">
        <w:rPr>
          <w:rFonts w:ascii="Times New Roman" w:eastAsia="Times New Roman" w:hAnsi="Times New Roman" w:cs="Times New Roman"/>
          <w:sz w:val="24"/>
          <w:szCs w:val="24"/>
        </w:rPr>
        <w:tab/>
        <w:t>United Nations Children’s Fund</w:t>
      </w:r>
    </w:p>
    <w:p w14:paraId="36FB5DC6" w14:textId="77777777" w:rsidR="00940635" w:rsidRPr="00D36AFD" w:rsidRDefault="00081B51">
      <w:pPr>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WHO</w:t>
      </w:r>
      <w:r w:rsidRPr="00D36AFD">
        <w:rPr>
          <w:rFonts w:ascii="Times New Roman" w:eastAsia="Times New Roman" w:hAnsi="Times New Roman" w:cs="Times New Roman"/>
          <w:sz w:val="24"/>
          <w:szCs w:val="24"/>
        </w:rPr>
        <w:tab/>
      </w:r>
      <w:r w:rsidRPr="00D36AFD">
        <w:rPr>
          <w:rFonts w:ascii="Times New Roman" w:eastAsia="Times New Roman" w:hAnsi="Times New Roman" w:cs="Times New Roman"/>
          <w:sz w:val="24"/>
          <w:szCs w:val="24"/>
        </w:rPr>
        <w:tab/>
        <w:t>World Health Organization</w:t>
      </w:r>
    </w:p>
    <w:p w14:paraId="64495729"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WHA              World Health Assembly</w:t>
      </w:r>
    </w:p>
    <w:p w14:paraId="6CA19EC0" w14:textId="77777777" w:rsidR="00940635" w:rsidRPr="00D36AFD" w:rsidRDefault="00081B51">
      <w:pPr>
        <w:rPr>
          <w:rFonts w:ascii="Times New Roman" w:eastAsia="Times New Roman" w:hAnsi="Times New Roman" w:cs="Times New Roman"/>
          <w:b/>
          <w:color w:val="000000"/>
          <w:sz w:val="24"/>
          <w:szCs w:val="24"/>
        </w:rPr>
      </w:pPr>
      <w:r w:rsidRPr="00D36AFD">
        <w:br w:type="page"/>
      </w:r>
    </w:p>
    <w:p w14:paraId="0F542A4F" w14:textId="77777777" w:rsidR="00940635" w:rsidRPr="00D36AFD" w:rsidRDefault="00081B51">
      <w:pPr>
        <w:spacing w:line="360" w:lineRule="auto"/>
        <w:jc w:val="both"/>
        <w:rPr>
          <w:rFonts w:ascii="Times New Roman" w:eastAsia="Times New Roman" w:hAnsi="Times New Roman" w:cs="Times New Roman"/>
          <w:b/>
          <w:color w:val="000000"/>
          <w:sz w:val="24"/>
          <w:szCs w:val="24"/>
        </w:rPr>
      </w:pPr>
      <w:r w:rsidRPr="00D36AFD">
        <w:rPr>
          <w:rFonts w:ascii="Times New Roman" w:eastAsia="Times New Roman" w:hAnsi="Times New Roman" w:cs="Times New Roman"/>
          <w:b/>
          <w:color w:val="000000"/>
          <w:sz w:val="24"/>
          <w:szCs w:val="24"/>
        </w:rPr>
        <w:lastRenderedPageBreak/>
        <w:t>Abstract</w:t>
      </w:r>
    </w:p>
    <w:p w14:paraId="2AE7C43C" w14:textId="77777777" w:rsidR="00940635" w:rsidRPr="00D36AFD" w:rsidRDefault="00081B51">
      <w:pPr>
        <w:spacing w:line="360" w:lineRule="auto"/>
        <w:jc w:val="both"/>
        <w:rPr>
          <w:rFonts w:ascii="Times New Roman" w:eastAsia="Times New Roman" w:hAnsi="Times New Roman" w:cs="Times New Roman"/>
          <w:b/>
          <w:color w:val="000000"/>
          <w:sz w:val="24"/>
          <w:szCs w:val="24"/>
        </w:rPr>
      </w:pPr>
      <w:r w:rsidRPr="00D36AFD">
        <w:rPr>
          <w:rFonts w:ascii="Times New Roman" w:eastAsia="Times New Roman" w:hAnsi="Times New Roman" w:cs="Times New Roman"/>
          <w:b/>
          <w:color w:val="000000"/>
          <w:sz w:val="24"/>
          <w:szCs w:val="24"/>
        </w:rPr>
        <w:t xml:space="preserve">Background: </w:t>
      </w:r>
    </w:p>
    <w:p w14:paraId="185FF9BB"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Kenya lacks comprehensive policies for regulating the food environment, thus there is a high level of unhealthy food consumption. The goal of the Food Environment Policy-Action project is to build evidence and mobilize multi-stakeholder actions towards the development of a double-duty bundle of four food environment policies that prevent the consumption of unhealthy diets and promote the consumption of nutrient rich and energy-dense</w:t>
      </w:r>
      <w:r w:rsidRPr="00D36AFD">
        <w:t xml:space="preserve"> </w:t>
      </w:r>
      <w:r w:rsidRPr="00D36AFD">
        <w:rPr>
          <w:rFonts w:ascii="Times New Roman" w:eastAsia="Times New Roman" w:hAnsi="Times New Roman" w:cs="Times New Roman"/>
          <w:color w:val="000000"/>
          <w:sz w:val="24"/>
          <w:szCs w:val="24"/>
        </w:rPr>
        <w:t xml:space="preserve">healthy foods.  </w:t>
      </w:r>
    </w:p>
    <w:p w14:paraId="34FC3CCC" w14:textId="77777777" w:rsidR="00940635" w:rsidRPr="00D36AFD" w:rsidRDefault="00081B51">
      <w:pPr>
        <w:spacing w:line="360" w:lineRule="auto"/>
        <w:jc w:val="both"/>
        <w:rPr>
          <w:rFonts w:ascii="Times New Roman" w:eastAsia="Times New Roman" w:hAnsi="Times New Roman" w:cs="Times New Roman"/>
          <w:b/>
          <w:color w:val="000000"/>
          <w:sz w:val="24"/>
          <w:szCs w:val="24"/>
        </w:rPr>
      </w:pPr>
      <w:r w:rsidRPr="00D36AFD">
        <w:rPr>
          <w:rFonts w:ascii="Times New Roman" w:eastAsia="Times New Roman" w:hAnsi="Times New Roman" w:cs="Times New Roman"/>
          <w:b/>
          <w:color w:val="000000"/>
          <w:sz w:val="24"/>
          <w:szCs w:val="24"/>
        </w:rPr>
        <w:t xml:space="preserve">Objective: </w:t>
      </w:r>
    </w:p>
    <w:p w14:paraId="4BB52AFC" w14:textId="77777777" w:rsidR="00940635" w:rsidRPr="00D36AFD" w:rsidRDefault="00081B51">
      <w:pPr>
        <w:spacing w:line="360" w:lineRule="auto"/>
        <w:jc w:val="both"/>
        <w:rPr>
          <w:rFonts w:ascii="Times New Roman" w:eastAsia="Times New Roman" w:hAnsi="Times New Roman" w:cs="Times New Roman"/>
          <w:b/>
          <w:color w:val="000000"/>
          <w:sz w:val="24"/>
          <w:szCs w:val="24"/>
        </w:rPr>
      </w:pPr>
      <w:r w:rsidRPr="00D36AFD">
        <w:rPr>
          <w:rFonts w:ascii="Times New Roman" w:eastAsia="Times New Roman" w:hAnsi="Times New Roman" w:cs="Times New Roman"/>
          <w:b/>
          <w:color w:val="000000"/>
          <w:sz w:val="24"/>
          <w:szCs w:val="24"/>
        </w:rPr>
        <w:t>The main objective</w:t>
      </w:r>
      <w:r w:rsidRPr="00D36AFD">
        <w:rPr>
          <w:rFonts w:ascii="Times New Roman" w:eastAsia="Times New Roman" w:hAnsi="Times New Roman" w:cs="Times New Roman"/>
          <w:color w:val="000000"/>
          <w:sz w:val="24"/>
          <w:szCs w:val="24"/>
        </w:rPr>
        <w:t xml:space="preserve"> is to generate evidence to inform the development of 4 policies for healthier and more equitable consumer food environments,</w:t>
      </w:r>
    </w:p>
    <w:p w14:paraId="003EED54" w14:textId="77777777" w:rsidR="00940635" w:rsidRPr="00D36AFD" w:rsidRDefault="00081B51">
      <w:pPr>
        <w:spacing w:line="360" w:lineRule="auto"/>
        <w:jc w:val="both"/>
        <w:rPr>
          <w:rFonts w:ascii="Times New Roman" w:eastAsia="Times New Roman" w:hAnsi="Times New Roman" w:cs="Times New Roman"/>
          <w:b/>
          <w:color w:val="000000"/>
          <w:sz w:val="24"/>
          <w:szCs w:val="24"/>
        </w:rPr>
      </w:pPr>
      <w:r w:rsidRPr="00D36AFD">
        <w:rPr>
          <w:rFonts w:ascii="Times New Roman" w:eastAsia="Times New Roman" w:hAnsi="Times New Roman" w:cs="Times New Roman"/>
          <w:b/>
          <w:color w:val="000000"/>
          <w:sz w:val="24"/>
          <w:szCs w:val="24"/>
        </w:rPr>
        <w:t>Study methods:</w:t>
      </w:r>
    </w:p>
    <w:p w14:paraId="09235296" w14:textId="77777777" w:rsidR="00940635" w:rsidRPr="00D36AFD" w:rsidRDefault="00081B5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The study will adopt a mixed methodology. The quantitative methods will entail; (i) validation of a Nutrient Profile Model through quality of food ranking by nutrition experts (ii) assessing the understanding of the Front of Pack Label (FoPL) by consumers and how this informs consumer purchasing intention. A desk review and key informant interviews will be conducted to assess the legal feasibility of the law-making processes in Kenya to locate feasible policy options, and human right approaches for stronger accountability by the government. The study will also employ group model building (GMB), a system dynamics (SD) approach to gain insights into the connections between variables influencing food-related policymaking. Key informant interviews will be conducted to determine approaches required to address gender and other inequities in the food system and legal pathways that enable the policy-making process.</w:t>
      </w:r>
    </w:p>
    <w:p w14:paraId="2B23F845" w14:textId="77777777" w:rsidR="00940635" w:rsidRPr="00D36AFD" w:rsidRDefault="00081B51">
      <w:pPr>
        <w:widowControl w:val="0"/>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Tests of the level of agreement between judgments of the nutrition experts and Kenya NPM will be used for the NPM evaluation. Descriptive analysis of consumer choices of the FoPL and effects of the label characteristics on the choice of food will be done. Thematic content analysis will be used to analyse emerging themes for the qualitative data. </w:t>
      </w:r>
    </w:p>
    <w:p w14:paraId="1DF844A1" w14:textId="77777777" w:rsidR="00940635" w:rsidRPr="00D36AFD" w:rsidRDefault="00081B51">
      <w:pPr>
        <w:widowControl w:val="0"/>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This project is funded through the Catalyzing Change for Health and Sustainable Food Systems (CCHeFS) Initiative, a co-funding partnership between IDRC and the Rockefeller Foundation.</w:t>
      </w:r>
    </w:p>
    <w:p w14:paraId="586D8959"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Study duration:  36 months</w:t>
      </w:r>
    </w:p>
    <w:p w14:paraId="7D3B0E02"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Budget: USD 135,282.00</w:t>
      </w:r>
    </w:p>
    <w:p w14:paraId="5D954FD2" w14:textId="77777777" w:rsidR="00940635" w:rsidRPr="00D36AFD" w:rsidRDefault="00081B51">
      <w:pPr>
        <w:pStyle w:val="Heading1"/>
      </w:pPr>
      <w:bookmarkStart w:id="1" w:name="_heading=h.30j0zll" w:colFirst="0" w:colLast="0"/>
      <w:bookmarkEnd w:id="1"/>
      <w:r w:rsidRPr="00D36AFD">
        <w:lastRenderedPageBreak/>
        <w:t xml:space="preserve">Introduction </w:t>
      </w:r>
    </w:p>
    <w:p w14:paraId="4424171C"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The long-term goal of this project is to contribute to the reduction of the double burden of malnutrition (DBM) primarily through policies that prevent the consumption of unhealthy diets, including food and drinks that are high in fat, sugar, and salt and promote healthy food consumption. It builds on the momentum set by global initiatives such as the Global RECAP program</w:t>
      </w:r>
      <w:r w:rsidRPr="00D36AFD">
        <w:rPr>
          <w:rFonts w:ascii="Times New Roman" w:eastAsia="Times New Roman" w:hAnsi="Times New Roman" w:cs="Times New Roman"/>
          <w:color w:val="000000"/>
          <w:sz w:val="24"/>
          <w:szCs w:val="24"/>
          <w:vertAlign w:val="superscript"/>
        </w:rPr>
        <w:t>1</w:t>
      </w:r>
      <w:r w:rsidRPr="00D36AFD">
        <w:rPr>
          <w:rFonts w:ascii="Times New Roman" w:eastAsia="Times New Roman" w:hAnsi="Times New Roman" w:cs="Times New Roman"/>
          <w:color w:val="000000"/>
          <w:sz w:val="24"/>
          <w:szCs w:val="24"/>
        </w:rPr>
        <w:t xml:space="preserve"> and local initiative in the Kenya Non-Communicable Diseases (NCD) Strategy</w:t>
      </w:r>
      <w:r w:rsidRPr="00D36AFD">
        <w:rPr>
          <w:rFonts w:ascii="Times New Roman" w:eastAsia="Times New Roman" w:hAnsi="Times New Roman" w:cs="Times New Roman"/>
          <w:color w:val="000000"/>
          <w:sz w:val="24"/>
          <w:szCs w:val="24"/>
          <w:vertAlign w:val="superscript"/>
        </w:rPr>
        <w:t>2</w:t>
      </w:r>
      <w:r w:rsidRPr="00D36AFD">
        <w:rPr>
          <w:rFonts w:ascii="Times New Roman" w:eastAsia="Times New Roman" w:hAnsi="Times New Roman" w:cs="Times New Roman"/>
          <w:color w:val="000000"/>
          <w:sz w:val="24"/>
          <w:szCs w:val="24"/>
        </w:rPr>
        <w:t xml:space="preserve"> to reduce DBM through shaping the food environment. It brings together a strong coalition of public and private organizations in Kenya deeply committed to accelerating pathways to developing effective policies for the prevention of unhealthy diets with scientific evidence while advocating for the incentives for healthy foods and food systems. Organizations involved in a healthy food system ecosystem will be empowered, not only as part of the policy discussion for input but also in the quest for implementation of the policies.</w:t>
      </w:r>
    </w:p>
    <w:p w14:paraId="3797759F"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This proposal focuses on developing a policy bundle consisting of four food environment policies: 1) restriction of marketing of unhealthy foods to children, 2) front-of-pack labelling, 3) fiscal policies increasing taxation of unhealthy foods, and 4) public procurement policies that favour healthier food options. The policy bundle was chosen through a consultative process that involved key informant interviews (during the implementation of the IDRC-funded global RECAP project) and meetings with stakeholders during the proposal development. It is anchored on policy windows expected to produce quick wins during the project period. We hypothesize that pressure from a well-coordinated coalition of civil society organizations and evidence-driven actions will enable the Kenyan government to implement comprehensive policy measures that will limit the availability of unhealthy foods while availing healthy foods to consumers, thus increasing the consumption of healthy foods with a consequent reduction in the DBM.</w:t>
      </w:r>
    </w:p>
    <w:p w14:paraId="4888368B"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This work will be implemented through three main work packages in a phased manner. First, a nutrient profiling model (NPM) for Kenya currently under development will be completed and rigorously evaluated. This will be followed by the development in selected food environment policy domains, namely: </w:t>
      </w:r>
      <w:r w:rsidRPr="00D36AFD">
        <w:rPr>
          <w:rFonts w:ascii="Times New Roman" w:eastAsia="Times New Roman" w:hAnsi="Times New Roman" w:cs="Times New Roman"/>
          <w:b/>
          <w:color w:val="000000"/>
          <w:sz w:val="24"/>
          <w:szCs w:val="24"/>
        </w:rPr>
        <w:t>Marketing regulations</w:t>
      </w:r>
      <w:r w:rsidRPr="00D36AFD">
        <w:rPr>
          <w:rFonts w:ascii="Times New Roman" w:eastAsia="Times New Roman" w:hAnsi="Times New Roman" w:cs="Times New Roman"/>
          <w:color w:val="000000"/>
          <w:sz w:val="24"/>
          <w:szCs w:val="24"/>
        </w:rPr>
        <w:t>: The Kenya Food, Drugs and Chemical Substances Act (Cap 254) states that “any person who advertises any food in contravention of any regulations made under this Act, or in a manner that is false, misleading or deceptive as regards its character, nature, value, substance, quality, composition, merit or safety, shall be guilty of an offense”</w:t>
      </w:r>
      <w:r w:rsidRPr="00D36AFD">
        <w:rPr>
          <w:rFonts w:ascii="Times New Roman" w:eastAsia="Times New Roman" w:hAnsi="Times New Roman" w:cs="Times New Roman"/>
          <w:color w:val="000000"/>
          <w:sz w:val="24"/>
          <w:szCs w:val="24"/>
          <w:vertAlign w:val="superscript"/>
        </w:rPr>
        <w:t>3</w:t>
      </w:r>
      <w:r w:rsidRPr="00D36AFD">
        <w:rPr>
          <w:rFonts w:ascii="Times New Roman" w:eastAsia="Times New Roman" w:hAnsi="Times New Roman" w:cs="Times New Roman"/>
          <w:color w:val="000000"/>
          <w:sz w:val="24"/>
          <w:szCs w:val="24"/>
        </w:rPr>
        <w:t>. Amendments to this section include restrictions on the marketing of unhealthy foods to children.</w:t>
      </w:r>
    </w:p>
    <w:p w14:paraId="2CA14DE9"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b/>
          <w:color w:val="000000"/>
          <w:sz w:val="24"/>
          <w:szCs w:val="24"/>
        </w:rPr>
        <w:lastRenderedPageBreak/>
        <w:t>Fiscal policies:</w:t>
      </w:r>
      <w:r w:rsidRPr="00D36AFD">
        <w:rPr>
          <w:rFonts w:ascii="Times New Roman" w:eastAsia="Times New Roman" w:hAnsi="Times New Roman" w:cs="Times New Roman"/>
          <w:color w:val="000000"/>
          <w:sz w:val="24"/>
          <w:szCs w:val="24"/>
        </w:rPr>
        <w:t xml:space="preserve">  Kenya currently imposes a higher tax on Sugar-Sweetened Beverage (SSB) and other non-sweetened beverages broadly classified as luxury goods</w:t>
      </w:r>
      <w:r w:rsidRPr="00D36AFD">
        <w:rPr>
          <w:rFonts w:ascii="Times New Roman" w:eastAsia="Times New Roman" w:hAnsi="Times New Roman" w:cs="Times New Roman"/>
          <w:color w:val="000000"/>
          <w:sz w:val="24"/>
          <w:szCs w:val="24"/>
          <w:vertAlign w:val="superscript"/>
        </w:rPr>
        <w:t>4</w:t>
      </w:r>
      <w:r w:rsidRPr="00D36AFD">
        <w:rPr>
          <w:rFonts w:ascii="Times New Roman" w:eastAsia="Times New Roman" w:hAnsi="Times New Roman" w:cs="Times New Roman"/>
          <w:color w:val="000000"/>
          <w:sz w:val="24"/>
          <w:szCs w:val="24"/>
        </w:rPr>
        <w:t xml:space="preserve">. The national treasury makes regular invitations to regular sectors to submit tax proposals with a justification for taxation. A sector can also initiate a fiscal measure and submit it to the treasury. However, Kenya has no standalone fiscal policy on the accessibility of unhealthy diets.  The first attempt to introduce the SSB tax in the national assembly in 2018 was unsuccessful. The reasons given for the rejection of the SSB tax </w:t>
      </w:r>
      <w:proofErr w:type="gramStart"/>
      <w:r w:rsidRPr="00D36AFD">
        <w:rPr>
          <w:rFonts w:ascii="Times New Roman" w:eastAsia="Times New Roman" w:hAnsi="Times New Roman" w:cs="Times New Roman"/>
          <w:color w:val="000000"/>
          <w:sz w:val="24"/>
          <w:szCs w:val="24"/>
        </w:rPr>
        <w:t>included;</w:t>
      </w:r>
      <w:proofErr w:type="gramEnd"/>
      <w:r w:rsidRPr="00D36AFD">
        <w:rPr>
          <w:rFonts w:ascii="Times New Roman" w:eastAsia="Times New Roman" w:hAnsi="Times New Roman" w:cs="Times New Roman"/>
          <w:color w:val="000000"/>
          <w:sz w:val="24"/>
          <w:szCs w:val="24"/>
        </w:rPr>
        <w:t xml:space="preserve"> the lack of up-to-date data on sugary drink sales and consumption, lack of information about how SSBs affect health, and opposing interests of government ministries. As assessment into the legal feasibility of adopting sugar-sweetened beverage tax in Botswana, Kenya, Namibia, Rwanda, Tanzania, </w:t>
      </w:r>
      <w:proofErr w:type="gramStart"/>
      <w:r w:rsidRPr="00D36AFD">
        <w:rPr>
          <w:rFonts w:ascii="Times New Roman" w:eastAsia="Times New Roman" w:hAnsi="Times New Roman" w:cs="Times New Roman"/>
          <w:color w:val="000000"/>
          <w:sz w:val="24"/>
          <w:szCs w:val="24"/>
        </w:rPr>
        <w:t>Uganda</w:t>
      </w:r>
      <w:proofErr w:type="gramEnd"/>
      <w:r w:rsidRPr="00D36AFD">
        <w:rPr>
          <w:rFonts w:ascii="Times New Roman" w:eastAsia="Times New Roman" w:hAnsi="Times New Roman" w:cs="Times New Roman"/>
          <w:color w:val="000000"/>
          <w:sz w:val="24"/>
          <w:szCs w:val="24"/>
        </w:rPr>
        <w:t xml:space="preserve"> and Zambia showed that these taxes are feasible within existing laws </w:t>
      </w:r>
      <w:r w:rsidRPr="00D36AFD">
        <w:rPr>
          <w:rFonts w:ascii="Times New Roman" w:eastAsia="Times New Roman" w:hAnsi="Times New Roman" w:cs="Times New Roman"/>
          <w:color w:val="000000"/>
          <w:sz w:val="24"/>
          <w:szCs w:val="24"/>
          <w:vertAlign w:val="superscript"/>
        </w:rPr>
        <w:t>1</w:t>
      </w:r>
      <w:r w:rsidRPr="00D36AFD">
        <w:rPr>
          <w:rFonts w:ascii="Times New Roman" w:eastAsia="Times New Roman" w:hAnsi="Times New Roman" w:cs="Times New Roman"/>
          <w:color w:val="000000"/>
          <w:sz w:val="24"/>
          <w:szCs w:val="24"/>
        </w:rPr>
        <w:t>.</w:t>
      </w:r>
    </w:p>
    <w:p w14:paraId="4336AE33"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b/>
          <w:color w:val="000000"/>
          <w:sz w:val="24"/>
          <w:szCs w:val="24"/>
        </w:rPr>
        <w:t>Public procurement policies:</w:t>
      </w:r>
      <w:r w:rsidRPr="00D36AFD">
        <w:rPr>
          <w:rFonts w:ascii="Times New Roman" w:eastAsia="Times New Roman" w:hAnsi="Times New Roman" w:cs="Times New Roman"/>
          <w:color w:val="000000"/>
          <w:sz w:val="24"/>
          <w:szCs w:val="24"/>
        </w:rPr>
        <w:t xml:space="preserve"> Currently, Kenya has a school meals program implemented mainly in public primary schools with no clear guidelines on the healthiness of foods. The school health policy covers key issues on healthy food environment such as advertisement of foods in and around school, and availability of food outlets around the schools but is silent about procurement of healthy foods</w:t>
      </w:r>
      <w:r w:rsidRPr="00D36AFD">
        <w:rPr>
          <w:rFonts w:ascii="Times New Roman" w:eastAsia="Times New Roman" w:hAnsi="Times New Roman" w:cs="Times New Roman"/>
          <w:color w:val="000000"/>
          <w:sz w:val="24"/>
          <w:szCs w:val="24"/>
          <w:vertAlign w:val="superscript"/>
        </w:rPr>
        <w:t>6</w:t>
      </w:r>
      <w:r w:rsidRPr="00D36AFD">
        <w:rPr>
          <w:rFonts w:ascii="Times New Roman" w:eastAsia="Times New Roman" w:hAnsi="Times New Roman" w:cs="Times New Roman"/>
          <w:color w:val="000000"/>
          <w:sz w:val="24"/>
          <w:szCs w:val="24"/>
        </w:rPr>
        <w:t>. The school meals policy and bill are under development and thus offer a good opportunity to influence the inclusion of food procurement policies and data of what was procured and submitted for analytics to ensure healthy food consumption in learning and correction institutions.</w:t>
      </w:r>
    </w:p>
    <w:p w14:paraId="23C5AA1A"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A strong advocacy platform will be created to harness public participation in the policy development and sensitize stakeholders on the need and relevance of the policies. We will embed implementation research across all phases of the project to document the experiences with policy development and stakeholder engagement processes and evaluate the potential effectiveness of the policies. We will collaborate with partners from Ghana and South Africa by sharing experiences and learning from common approaches to enhance and sustain mutually beneficial relationships with policy development. This will increase the visibility, credibility, and impact across Africa and make a case for future investment in food environment policies in other African countries.  The focus of this protocol is on the implementation research aspect of the project. </w:t>
      </w:r>
    </w:p>
    <w:p w14:paraId="711B7D89" w14:textId="77777777" w:rsidR="00940635" w:rsidRPr="00D36AFD" w:rsidRDefault="00081B51">
      <w:pPr>
        <w:pStyle w:val="Heading1"/>
      </w:pPr>
      <w:bookmarkStart w:id="2" w:name="_heading=h.1fob9te" w:colFirst="0" w:colLast="0"/>
      <w:bookmarkEnd w:id="2"/>
      <w:r w:rsidRPr="00D36AFD">
        <w:t>Research problem and justification</w:t>
      </w:r>
    </w:p>
    <w:p w14:paraId="46ABE5A8"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In Kenya, the STEPS</w:t>
      </w:r>
      <w:r w:rsidRPr="00D36AFD">
        <w:rPr>
          <w:rFonts w:ascii="Times New Roman" w:eastAsia="Times New Roman" w:hAnsi="Times New Roman" w:cs="Times New Roman"/>
          <w:color w:val="000000"/>
          <w:sz w:val="24"/>
          <w:szCs w:val="24"/>
          <w:vertAlign w:val="superscript"/>
        </w:rPr>
        <w:t>2</w:t>
      </w:r>
      <w:r w:rsidRPr="00D36AFD">
        <w:rPr>
          <w:rFonts w:ascii="Times New Roman" w:eastAsia="Times New Roman" w:hAnsi="Times New Roman" w:cs="Times New Roman"/>
          <w:color w:val="000000"/>
          <w:sz w:val="24"/>
          <w:szCs w:val="24"/>
        </w:rPr>
        <w:t xml:space="preserve"> survey of 2015 showed that about one-quarter of adults consumed excessive amounts of added salt in food and high sugar in beverages and less than 10% </w:t>
      </w:r>
      <w:r w:rsidRPr="00D36AFD">
        <w:rPr>
          <w:rFonts w:ascii="Times New Roman" w:eastAsia="Times New Roman" w:hAnsi="Times New Roman" w:cs="Times New Roman"/>
          <w:color w:val="000000"/>
          <w:sz w:val="24"/>
          <w:szCs w:val="24"/>
        </w:rPr>
        <w:lastRenderedPageBreak/>
        <w:t>consumed the recommended five servings of vegetables and fruits</w:t>
      </w:r>
      <w:r w:rsidRPr="00D36AFD">
        <w:rPr>
          <w:rFonts w:ascii="Times New Roman" w:eastAsia="Times New Roman" w:hAnsi="Times New Roman" w:cs="Times New Roman"/>
          <w:color w:val="000000"/>
          <w:sz w:val="24"/>
          <w:szCs w:val="24"/>
          <w:vertAlign w:val="superscript"/>
        </w:rPr>
        <w:t>7</w:t>
      </w:r>
      <w:r w:rsidRPr="00D36AFD">
        <w:rPr>
          <w:rFonts w:ascii="Times New Roman" w:eastAsia="Times New Roman" w:hAnsi="Times New Roman" w:cs="Times New Roman"/>
          <w:color w:val="000000"/>
          <w:sz w:val="24"/>
          <w:szCs w:val="24"/>
        </w:rPr>
        <w:t>. The prevalence of overweight and obesity among children and adolescents in low and middle-income countries (LMICs), including Kenya, nearly doubled between 1980 and 2013</w:t>
      </w:r>
      <w:r w:rsidRPr="00D36AFD">
        <w:rPr>
          <w:rFonts w:ascii="Times New Roman" w:eastAsia="Times New Roman" w:hAnsi="Times New Roman" w:cs="Times New Roman"/>
          <w:color w:val="000000"/>
          <w:sz w:val="24"/>
          <w:szCs w:val="24"/>
          <w:vertAlign w:val="superscript"/>
        </w:rPr>
        <w:t>8</w:t>
      </w:r>
      <w:r w:rsidRPr="00D36AFD">
        <w:rPr>
          <w:rFonts w:ascii="Times New Roman" w:eastAsia="Times New Roman" w:hAnsi="Times New Roman" w:cs="Times New Roman"/>
          <w:color w:val="000000"/>
          <w:sz w:val="24"/>
          <w:szCs w:val="24"/>
        </w:rPr>
        <w:t>.  Obesity among women has also doubled in Kenya</w:t>
      </w:r>
      <w:r w:rsidRPr="00D36AFD">
        <w:rPr>
          <w:rFonts w:ascii="Times New Roman" w:eastAsia="Times New Roman" w:hAnsi="Times New Roman" w:cs="Times New Roman"/>
          <w:color w:val="000000"/>
          <w:sz w:val="24"/>
          <w:szCs w:val="24"/>
          <w:vertAlign w:val="superscript"/>
        </w:rPr>
        <w:t>9</w:t>
      </w:r>
      <w:r w:rsidRPr="00D36AFD">
        <w:rPr>
          <w:rFonts w:ascii="Times New Roman" w:eastAsia="Times New Roman" w:hAnsi="Times New Roman" w:cs="Times New Roman"/>
          <w:color w:val="000000"/>
          <w:sz w:val="24"/>
          <w:szCs w:val="24"/>
        </w:rPr>
        <w:t>. The DBM presents new challenges for policy and programming. Actions to address undernutrition, overweight and obesity have historically been developed and delivered in silos. Evidence from elsewhere has shown that such a solo approach removes opportunities to use the same platforms for shared action and is counterproductive in some cases</w:t>
      </w:r>
      <w:r w:rsidRPr="00D36AFD">
        <w:rPr>
          <w:rFonts w:ascii="Times New Roman" w:eastAsia="Times New Roman" w:hAnsi="Times New Roman" w:cs="Times New Roman"/>
          <w:color w:val="000000"/>
          <w:sz w:val="24"/>
          <w:szCs w:val="24"/>
          <w:vertAlign w:val="superscript"/>
        </w:rPr>
        <w:t>10,11</w:t>
      </w:r>
      <w:r w:rsidRPr="00D36AFD">
        <w:rPr>
          <w:rFonts w:ascii="Times New Roman" w:eastAsia="Times New Roman" w:hAnsi="Times New Roman" w:cs="Times New Roman"/>
          <w:color w:val="000000"/>
          <w:sz w:val="24"/>
          <w:szCs w:val="24"/>
        </w:rPr>
        <w:t>. There has been increasing global recognition that all types of malnutrition need to be addressed (Target 2.2 of the Sustainable Development Goals) to “end malnutrition in all its forms”</w:t>
      </w:r>
      <w:r w:rsidRPr="00D36AFD">
        <w:rPr>
          <w:rFonts w:ascii="Times New Roman" w:eastAsia="Times New Roman" w:hAnsi="Times New Roman" w:cs="Times New Roman"/>
          <w:color w:val="000000"/>
          <w:sz w:val="24"/>
          <w:szCs w:val="24"/>
          <w:vertAlign w:val="superscript"/>
        </w:rPr>
        <w:t>12</w:t>
      </w:r>
      <w:r w:rsidRPr="00D36AFD">
        <w:rPr>
          <w:rFonts w:ascii="Times New Roman" w:eastAsia="Times New Roman" w:hAnsi="Times New Roman" w:cs="Times New Roman"/>
          <w:color w:val="000000"/>
          <w:sz w:val="24"/>
          <w:szCs w:val="24"/>
        </w:rPr>
        <w:t>. The Lancet Commission on the global occurrence of obesity, undernutrition, and climate change highlights the need to tackle these interconnected problems simultaneously</w:t>
      </w:r>
      <w:r w:rsidRPr="00D36AFD">
        <w:rPr>
          <w:rFonts w:ascii="Times New Roman" w:eastAsia="Times New Roman" w:hAnsi="Times New Roman" w:cs="Times New Roman"/>
          <w:color w:val="000000"/>
          <w:sz w:val="24"/>
          <w:szCs w:val="24"/>
          <w:vertAlign w:val="superscript"/>
        </w:rPr>
        <w:t>13</w:t>
      </w:r>
      <w:r w:rsidRPr="00D36AFD">
        <w:rPr>
          <w:rFonts w:ascii="Times New Roman" w:eastAsia="Times New Roman" w:hAnsi="Times New Roman" w:cs="Times New Roman"/>
          <w:color w:val="000000"/>
          <w:sz w:val="24"/>
          <w:szCs w:val="24"/>
        </w:rPr>
        <w:t>. Being a complex and dynamic problem with many players, the system dynamic approach for modelling is justified.</w:t>
      </w:r>
    </w:p>
    <w:p w14:paraId="4B9645A8"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The food environment has been identified as one of the common drivers of all forms of malnutrition</w:t>
      </w:r>
      <w:r w:rsidRPr="00D36AFD">
        <w:rPr>
          <w:rFonts w:ascii="Times New Roman" w:eastAsia="Times New Roman" w:hAnsi="Times New Roman" w:cs="Times New Roman"/>
          <w:color w:val="000000"/>
          <w:sz w:val="24"/>
          <w:szCs w:val="24"/>
          <w:vertAlign w:val="superscript"/>
        </w:rPr>
        <w:t>14</w:t>
      </w:r>
      <w:r w:rsidRPr="00D36AFD">
        <w:rPr>
          <w:rFonts w:ascii="Times New Roman" w:eastAsia="Times New Roman" w:hAnsi="Times New Roman" w:cs="Times New Roman"/>
          <w:color w:val="000000"/>
          <w:sz w:val="24"/>
          <w:szCs w:val="24"/>
        </w:rPr>
        <w:t>. Evidence shows that healthier food environments are associated with greater intake of nutritious foods</w:t>
      </w:r>
      <w:r w:rsidRPr="00D36AFD">
        <w:rPr>
          <w:rFonts w:ascii="Times New Roman" w:eastAsia="Times New Roman" w:hAnsi="Times New Roman" w:cs="Times New Roman"/>
          <w:color w:val="000000"/>
          <w:sz w:val="24"/>
          <w:szCs w:val="24"/>
          <w:vertAlign w:val="superscript"/>
        </w:rPr>
        <w:t>15</w:t>
      </w:r>
      <w:r w:rsidRPr="00D36AFD">
        <w:rPr>
          <w:rFonts w:ascii="Times New Roman" w:eastAsia="Times New Roman" w:hAnsi="Times New Roman" w:cs="Times New Roman"/>
          <w:color w:val="000000"/>
          <w:sz w:val="24"/>
          <w:szCs w:val="24"/>
        </w:rPr>
        <w:t>. However, the worldwide availability of unhealthy processed foods, snacks, and beverages high in energy, sugar, fat, and salt has increased since 2004</w:t>
      </w:r>
      <w:r w:rsidRPr="00D36AFD">
        <w:rPr>
          <w:rFonts w:ascii="Times New Roman" w:eastAsia="Times New Roman" w:hAnsi="Times New Roman" w:cs="Times New Roman"/>
          <w:color w:val="000000"/>
          <w:sz w:val="24"/>
          <w:szCs w:val="24"/>
          <w:vertAlign w:val="superscript"/>
        </w:rPr>
        <w:t>16</w:t>
      </w:r>
      <w:r w:rsidRPr="00D36AFD">
        <w:rPr>
          <w:rFonts w:ascii="Times New Roman" w:eastAsia="Times New Roman" w:hAnsi="Times New Roman" w:cs="Times New Roman"/>
          <w:color w:val="000000"/>
          <w:sz w:val="24"/>
          <w:szCs w:val="24"/>
        </w:rPr>
        <w:t xml:space="preserve">. Food systems are largely driven by the private sector operating on market principles within the laws and regulations determined mainly by national governments. Governments are </w:t>
      </w:r>
      <w:proofErr w:type="gramStart"/>
      <w:r w:rsidRPr="00D36AFD">
        <w:rPr>
          <w:rFonts w:ascii="Times New Roman" w:eastAsia="Times New Roman" w:hAnsi="Times New Roman" w:cs="Times New Roman"/>
          <w:color w:val="000000"/>
          <w:sz w:val="24"/>
          <w:szCs w:val="24"/>
        </w:rPr>
        <w:t>in a position</w:t>
      </w:r>
      <w:proofErr w:type="gramEnd"/>
      <w:r w:rsidRPr="00D36AFD">
        <w:rPr>
          <w:rFonts w:ascii="Times New Roman" w:eastAsia="Times New Roman" w:hAnsi="Times New Roman" w:cs="Times New Roman"/>
          <w:color w:val="000000"/>
          <w:sz w:val="24"/>
          <w:szCs w:val="24"/>
        </w:rPr>
        <w:t xml:space="preserve"> to act when the market fails to deliver optimal health beneﬁts for the population. Several policy actions targeted at modifying the food environment have been suggested</w:t>
      </w:r>
      <w:r w:rsidRPr="00D36AFD">
        <w:rPr>
          <w:rFonts w:ascii="Times New Roman" w:eastAsia="Times New Roman" w:hAnsi="Times New Roman" w:cs="Times New Roman"/>
          <w:color w:val="000000"/>
          <w:sz w:val="24"/>
          <w:szCs w:val="24"/>
          <w:vertAlign w:val="superscript"/>
        </w:rPr>
        <w:t>17</w:t>
      </w:r>
      <w:r w:rsidRPr="00D36AFD">
        <w:rPr>
          <w:rFonts w:ascii="Times New Roman" w:eastAsia="Times New Roman" w:hAnsi="Times New Roman" w:cs="Times New Roman"/>
          <w:color w:val="000000"/>
          <w:sz w:val="24"/>
          <w:szCs w:val="24"/>
        </w:rPr>
        <w:t>. Although many countries globally are implementing these policies, only Tunisia, Morocco, and South Africa are currently implementing some of the food environment policies in Africa</w:t>
      </w:r>
      <w:r w:rsidRPr="00D36AFD">
        <w:rPr>
          <w:rFonts w:ascii="Times New Roman" w:eastAsia="Times New Roman" w:hAnsi="Times New Roman" w:cs="Times New Roman"/>
          <w:color w:val="000000"/>
          <w:sz w:val="24"/>
          <w:szCs w:val="24"/>
          <w:vertAlign w:val="superscript"/>
        </w:rPr>
        <w:t>18</w:t>
      </w:r>
      <w:r w:rsidRPr="00D36AFD">
        <w:rPr>
          <w:rFonts w:ascii="Times New Roman" w:eastAsia="Times New Roman" w:hAnsi="Times New Roman" w:cs="Times New Roman"/>
          <w:color w:val="000000"/>
          <w:sz w:val="24"/>
          <w:szCs w:val="24"/>
        </w:rPr>
        <w:t xml:space="preserve">. Most of the food environment policies target obesity and related non-communicable diseases and do not address undernutrition, environmental sustainability and do not take equity into consideration. For example, our proposed bundle's current food environment policies are designed as follows in other settings. </w:t>
      </w:r>
    </w:p>
    <w:p w14:paraId="5EFB1FE3"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Food marketing policies entail comprehensive actions by governments to reduce the impact of promoting unhealthy foods particularly to children</w:t>
      </w:r>
      <w:r w:rsidRPr="00D36AFD">
        <w:rPr>
          <w:rFonts w:ascii="Times New Roman" w:eastAsia="Times New Roman" w:hAnsi="Times New Roman" w:cs="Times New Roman"/>
          <w:color w:val="000000"/>
          <w:sz w:val="24"/>
          <w:szCs w:val="24"/>
          <w:vertAlign w:val="superscript"/>
        </w:rPr>
        <w:t>19</w:t>
      </w:r>
      <w:r w:rsidRPr="00D36AFD">
        <w:rPr>
          <w:rFonts w:ascii="Times New Roman" w:eastAsia="Times New Roman" w:hAnsi="Times New Roman" w:cs="Times New Roman"/>
          <w:color w:val="000000"/>
          <w:sz w:val="24"/>
          <w:szCs w:val="24"/>
        </w:rPr>
        <w:t>. Globally, many countries are actively implementing these policies in response to the World Health Assembly (WHA) Resolution 63.14</w:t>
      </w:r>
      <w:r w:rsidRPr="00D36AFD">
        <w:rPr>
          <w:rFonts w:ascii="Times New Roman" w:eastAsia="Times New Roman" w:hAnsi="Times New Roman" w:cs="Times New Roman"/>
          <w:color w:val="000000"/>
          <w:sz w:val="24"/>
          <w:szCs w:val="24"/>
          <w:vertAlign w:val="superscript"/>
        </w:rPr>
        <w:t>20</w:t>
      </w:r>
      <w:r w:rsidRPr="00D36AFD">
        <w:rPr>
          <w:rFonts w:ascii="Times New Roman" w:eastAsia="Times New Roman" w:hAnsi="Times New Roman" w:cs="Times New Roman"/>
          <w:color w:val="000000"/>
          <w:sz w:val="24"/>
          <w:szCs w:val="24"/>
        </w:rPr>
        <w:t>. The Resolution encourages governments to ensure that settings, where children gather, are free from all forms of marketing of unhealthy foods. Food labelling policies</w:t>
      </w:r>
      <w:r w:rsidRPr="00D36AFD">
        <w:rPr>
          <w:rFonts w:ascii="Times New Roman" w:eastAsia="Times New Roman" w:hAnsi="Times New Roman" w:cs="Times New Roman"/>
          <w:b/>
          <w:color w:val="000000"/>
          <w:sz w:val="24"/>
          <w:szCs w:val="24"/>
        </w:rPr>
        <w:t xml:space="preserve"> </w:t>
      </w:r>
      <w:r w:rsidRPr="00D36AFD">
        <w:rPr>
          <w:rFonts w:ascii="Times New Roman" w:eastAsia="Times New Roman" w:hAnsi="Times New Roman" w:cs="Times New Roman"/>
          <w:color w:val="000000"/>
          <w:sz w:val="24"/>
          <w:szCs w:val="24"/>
        </w:rPr>
        <w:t>are implemented to enable consumers to make informed choices to consume healthy foods</w:t>
      </w:r>
      <w:r w:rsidRPr="00D36AFD">
        <w:rPr>
          <w:rFonts w:ascii="Times New Roman" w:eastAsia="Times New Roman" w:hAnsi="Times New Roman" w:cs="Times New Roman"/>
          <w:color w:val="000000"/>
          <w:sz w:val="24"/>
          <w:szCs w:val="24"/>
          <w:vertAlign w:val="superscript"/>
        </w:rPr>
        <w:t>19</w:t>
      </w:r>
      <w:r w:rsidRPr="00D36AFD">
        <w:rPr>
          <w:rFonts w:ascii="Times New Roman" w:eastAsia="Times New Roman" w:hAnsi="Times New Roman" w:cs="Times New Roman"/>
          <w:color w:val="000000"/>
          <w:sz w:val="24"/>
          <w:szCs w:val="24"/>
        </w:rPr>
        <w:t xml:space="preserve">. These </w:t>
      </w:r>
      <w:r w:rsidRPr="00D36AFD">
        <w:rPr>
          <w:rFonts w:ascii="Times New Roman" w:eastAsia="Times New Roman" w:hAnsi="Times New Roman" w:cs="Times New Roman"/>
          <w:color w:val="000000"/>
          <w:sz w:val="24"/>
          <w:szCs w:val="24"/>
        </w:rPr>
        <w:lastRenderedPageBreak/>
        <w:t xml:space="preserve">include mandatory or voluntary front-of-pack labelling indicating the healthiness of processed food products sold in a country. Fiscal policies involve governments applying taxes (e.g. excise, sales, value-added, tariffs) differently to healthy and less healthy foods and may provide subsidies on healthy foods to make healthy eating choices easier and cheaper. Examples </w:t>
      </w:r>
      <w:proofErr w:type="gramStart"/>
      <w:r w:rsidRPr="00D36AFD">
        <w:rPr>
          <w:rFonts w:ascii="Times New Roman" w:eastAsia="Times New Roman" w:hAnsi="Times New Roman" w:cs="Times New Roman"/>
          <w:color w:val="000000"/>
          <w:sz w:val="24"/>
          <w:szCs w:val="24"/>
        </w:rPr>
        <w:t>include;</w:t>
      </w:r>
      <w:proofErr w:type="gramEnd"/>
      <w:r w:rsidRPr="00D36AFD">
        <w:rPr>
          <w:rFonts w:ascii="Times New Roman" w:eastAsia="Times New Roman" w:hAnsi="Times New Roman" w:cs="Times New Roman"/>
          <w:color w:val="000000"/>
          <w:sz w:val="24"/>
          <w:szCs w:val="24"/>
        </w:rPr>
        <w:t xml:space="preserve"> Sugar-sweetened beverages (SSB) taxation shown to reduce consumer purchases of foods with high sugar content</w:t>
      </w:r>
      <w:r w:rsidRPr="00D36AFD">
        <w:rPr>
          <w:rFonts w:ascii="Times New Roman" w:eastAsia="Times New Roman" w:hAnsi="Times New Roman" w:cs="Times New Roman"/>
          <w:color w:val="000000"/>
          <w:sz w:val="24"/>
          <w:szCs w:val="24"/>
          <w:vertAlign w:val="superscript"/>
        </w:rPr>
        <w:t>5,21,22</w:t>
      </w:r>
      <w:r w:rsidRPr="00D36AFD">
        <w:rPr>
          <w:rFonts w:ascii="Times New Roman" w:eastAsia="Times New Roman" w:hAnsi="Times New Roman" w:cs="Times New Roman"/>
          <w:color w:val="000000"/>
          <w:sz w:val="24"/>
          <w:szCs w:val="24"/>
        </w:rPr>
        <w:t>. Food provisioning policies</w:t>
      </w:r>
      <w:r w:rsidRPr="00D36AFD">
        <w:rPr>
          <w:rFonts w:ascii="Times New Roman" w:eastAsia="Times New Roman" w:hAnsi="Times New Roman" w:cs="Times New Roman"/>
          <w:b/>
          <w:color w:val="000000"/>
          <w:sz w:val="24"/>
          <w:szCs w:val="24"/>
        </w:rPr>
        <w:t xml:space="preserve"> </w:t>
      </w:r>
      <w:r w:rsidRPr="00D36AFD">
        <w:rPr>
          <w:rFonts w:ascii="Times New Roman" w:eastAsia="Times New Roman" w:hAnsi="Times New Roman" w:cs="Times New Roman"/>
          <w:color w:val="000000"/>
          <w:sz w:val="24"/>
          <w:szCs w:val="24"/>
        </w:rPr>
        <w:t>instruct the implementation of healthy food service policies in publicly funded settings (schools, early childhood services, hospitals, and prisons) to encourage healthy food choices</w:t>
      </w:r>
      <w:r w:rsidRPr="00D36AFD">
        <w:rPr>
          <w:rFonts w:ascii="Times New Roman" w:eastAsia="Times New Roman" w:hAnsi="Times New Roman" w:cs="Times New Roman"/>
          <w:color w:val="000000"/>
          <w:sz w:val="24"/>
          <w:szCs w:val="24"/>
          <w:vertAlign w:val="superscript"/>
        </w:rPr>
        <w:t>19</w:t>
      </w:r>
      <w:r w:rsidRPr="00D36AFD">
        <w:rPr>
          <w:rFonts w:ascii="Times New Roman" w:eastAsia="Times New Roman" w:hAnsi="Times New Roman" w:cs="Times New Roman"/>
          <w:b/>
          <w:color w:val="000000"/>
          <w:sz w:val="24"/>
          <w:szCs w:val="24"/>
        </w:rPr>
        <w:t>.</w:t>
      </w:r>
      <w:r w:rsidRPr="00D36AFD">
        <w:rPr>
          <w:rFonts w:ascii="Times New Roman" w:eastAsia="Times New Roman" w:hAnsi="Times New Roman" w:cs="Times New Roman"/>
          <w:color w:val="000000"/>
          <w:sz w:val="24"/>
          <w:szCs w:val="24"/>
        </w:rPr>
        <w:t xml:space="preserve"> This can be achieved through setting and enforcing nutrition standards for school food, </w:t>
      </w:r>
      <w:proofErr w:type="gramStart"/>
      <w:r w:rsidRPr="00D36AFD">
        <w:rPr>
          <w:rFonts w:ascii="Times New Roman" w:eastAsia="Times New Roman" w:hAnsi="Times New Roman" w:cs="Times New Roman"/>
          <w:color w:val="000000"/>
          <w:sz w:val="24"/>
          <w:szCs w:val="24"/>
        </w:rPr>
        <w:t>meals</w:t>
      </w:r>
      <w:proofErr w:type="gramEnd"/>
      <w:r w:rsidRPr="00D36AFD">
        <w:rPr>
          <w:rFonts w:ascii="Times New Roman" w:eastAsia="Times New Roman" w:hAnsi="Times New Roman" w:cs="Times New Roman"/>
          <w:color w:val="000000"/>
          <w:sz w:val="24"/>
          <w:szCs w:val="24"/>
        </w:rPr>
        <w:t xml:space="preserve"> and snacks; making nutritious foods more affordable, restricting the sale and advertisement of food products rich in fat, sugar, or salt; and through inclusive procurement and value chain practices.</w:t>
      </w:r>
      <w:r w:rsidRPr="00D36AFD">
        <w:rPr>
          <w:rFonts w:ascii="Times New Roman" w:eastAsia="Times New Roman" w:hAnsi="Times New Roman" w:cs="Times New Roman"/>
          <w:b/>
          <w:color w:val="000000"/>
          <w:sz w:val="24"/>
          <w:szCs w:val="24"/>
        </w:rPr>
        <w:t xml:space="preserve"> </w:t>
      </w:r>
      <w:r w:rsidRPr="00D36AFD">
        <w:rPr>
          <w:rFonts w:ascii="Times New Roman" w:eastAsia="Times New Roman" w:hAnsi="Times New Roman" w:cs="Times New Roman"/>
          <w:color w:val="000000"/>
          <w:sz w:val="24"/>
          <w:szCs w:val="24"/>
        </w:rPr>
        <w:t xml:space="preserve">  Changing food systems is one of the most promising and impactful ways to address nutrition and health, climate change, and environmental degradation. The Global Syndemic concept from the Lancet Commission on Obesity identified the common underlying drivers of obesity, undernutrition, and climate change and proposed triple duty actions to address all three</w:t>
      </w:r>
      <w:r w:rsidRPr="00D36AFD">
        <w:rPr>
          <w:rFonts w:ascii="Times New Roman" w:eastAsia="Times New Roman" w:hAnsi="Times New Roman" w:cs="Times New Roman"/>
          <w:color w:val="000000"/>
          <w:sz w:val="24"/>
          <w:szCs w:val="24"/>
          <w:vertAlign w:val="superscript"/>
        </w:rPr>
        <w:t>13</w:t>
      </w:r>
      <w:r w:rsidRPr="00D36AFD">
        <w:rPr>
          <w:rFonts w:ascii="Times New Roman" w:eastAsia="Times New Roman" w:hAnsi="Times New Roman" w:cs="Times New Roman"/>
          <w:color w:val="000000"/>
          <w:sz w:val="24"/>
          <w:szCs w:val="24"/>
        </w:rPr>
        <w:t xml:space="preserve">.  However, </w:t>
      </w:r>
      <w:proofErr w:type="gramStart"/>
      <w:r w:rsidRPr="00D36AFD">
        <w:rPr>
          <w:rFonts w:ascii="Times New Roman" w:eastAsia="Times New Roman" w:hAnsi="Times New Roman" w:cs="Times New Roman"/>
          <w:color w:val="000000"/>
          <w:sz w:val="24"/>
          <w:szCs w:val="24"/>
        </w:rPr>
        <w:t>low</w:t>
      </w:r>
      <w:proofErr w:type="gramEnd"/>
      <w:r w:rsidRPr="00D36AFD">
        <w:rPr>
          <w:rFonts w:ascii="Times New Roman" w:eastAsia="Times New Roman" w:hAnsi="Times New Roman" w:cs="Times New Roman"/>
          <w:color w:val="000000"/>
          <w:sz w:val="24"/>
          <w:szCs w:val="24"/>
        </w:rPr>
        <w:t xml:space="preserve"> and middle-income countries have not implemented the triple duty actions.</w:t>
      </w:r>
    </w:p>
    <w:p w14:paraId="630329D8"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The status of the food environment policies in Kenya, assessed through a desk review and national expert consultations conducted in 2017-2018, revealed a very low level of implementation</w:t>
      </w:r>
      <w:r w:rsidRPr="00D36AFD">
        <w:rPr>
          <w:rFonts w:ascii="Times New Roman" w:eastAsia="Times New Roman" w:hAnsi="Times New Roman" w:cs="Times New Roman"/>
          <w:color w:val="000000"/>
          <w:sz w:val="24"/>
          <w:szCs w:val="24"/>
          <w:vertAlign w:val="superscript"/>
        </w:rPr>
        <w:t xml:space="preserve">23 </w:t>
      </w:r>
      <w:r w:rsidRPr="00D36AFD">
        <w:rPr>
          <w:rFonts w:ascii="Times New Roman" w:eastAsia="Times New Roman" w:hAnsi="Times New Roman" w:cs="Times New Roman"/>
          <w:color w:val="000000"/>
          <w:sz w:val="24"/>
          <w:szCs w:val="24"/>
        </w:rPr>
        <w:t xml:space="preserve">indicating that Kenya’s food policy is still at developmental stage. Since the completion of this assessment, the Kenya Ministry of Health (MOH) supported by WHO, IDLO and IDRC (in the Global RECAP project) has been deeply engaged in drafting a front-of-pack labelling policy along with developing a nutrient profiling system. </w:t>
      </w:r>
    </w:p>
    <w:p w14:paraId="0B693045" w14:textId="77777777" w:rsidR="00940635" w:rsidRPr="00D36AFD" w:rsidRDefault="00081B51">
      <w:pP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There are immense opportunities to move these food environment policies forward from development to implementation, including a strong legal framework that may support the restriction of marketing of unhealthy foods, as this is perceived as a child rights issue supported by the Kenya constitution. There is consensus that the current labelling of foods is inadequate and needs to be improved. Fiscal policies may be easier to implement because they generate government revenue. Kenya currently charges 10 shillings (0.10 USD) per litre on all soft drinks.  However, these taxes were not instituted as a measure for the prevention of NCDs</w:t>
      </w:r>
      <w:r w:rsidRPr="00D36AFD">
        <w:rPr>
          <w:rFonts w:ascii="Times New Roman" w:eastAsia="Times New Roman" w:hAnsi="Times New Roman" w:cs="Times New Roman"/>
          <w:color w:val="000000"/>
          <w:sz w:val="24"/>
          <w:szCs w:val="24"/>
          <w:vertAlign w:val="superscript"/>
        </w:rPr>
        <w:t>4</w:t>
      </w:r>
      <w:r w:rsidRPr="00D36AFD">
        <w:rPr>
          <w:rFonts w:ascii="Times New Roman" w:eastAsia="Times New Roman" w:hAnsi="Times New Roman" w:cs="Times New Roman"/>
          <w:color w:val="000000"/>
          <w:sz w:val="24"/>
          <w:szCs w:val="24"/>
        </w:rPr>
        <w:t>. There is limited evidence on approaches to developing and implementing these policies. Research to inform this process is therefore critical.</w:t>
      </w:r>
    </w:p>
    <w:p w14:paraId="5D6D70A6" w14:textId="77777777" w:rsidR="00940635" w:rsidRPr="00D36AFD" w:rsidRDefault="00081B51">
      <w:pPr>
        <w:pStyle w:val="Heading1"/>
      </w:pPr>
      <w:bookmarkStart w:id="3" w:name="_heading=h.3znysh7" w:colFirst="0" w:colLast="0"/>
      <w:bookmarkEnd w:id="3"/>
      <w:r w:rsidRPr="00D36AFD">
        <w:lastRenderedPageBreak/>
        <w:t xml:space="preserve">Review of Literature </w:t>
      </w:r>
    </w:p>
    <w:p w14:paraId="4A87893D"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The DBM, defined as the simultaneous manifestation of both undernutrition or overweight and obesity and associated diet-related non-communicable diseases (DR-NCDs) is increasing in most low-income and middle-income countries (LMICs).  An unhealthy</w:t>
      </w:r>
      <w:r w:rsidRPr="00D36AFD">
        <w:t xml:space="preserve"> </w:t>
      </w:r>
      <w:r w:rsidRPr="00D36AFD">
        <w:rPr>
          <w:rFonts w:ascii="Times New Roman" w:eastAsia="Times New Roman" w:hAnsi="Times New Roman" w:cs="Times New Roman"/>
          <w:color w:val="000000"/>
          <w:sz w:val="24"/>
          <w:szCs w:val="24"/>
        </w:rPr>
        <w:t>diet is a known modifiable risk factor for DBM. In 2017, 11 million deaths and 255 million Disability adjusted life years (DALYs) were attributed to dietary risk factors globally</w:t>
      </w:r>
      <w:r w:rsidRPr="00D36AFD">
        <w:rPr>
          <w:rFonts w:ascii="Times New Roman" w:eastAsia="Times New Roman" w:hAnsi="Times New Roman" w:cs="Times New Roman"/>
          <w:color w:val="000000"/>
          <w:sz w:val="24"/>
          <w:szCs w:val="24"/>
          <w:vertAlign w:val="superscript"/>
        </w:rPr>
        <w:t>24</w:t>
      </w:r>
      <w:r w:rsidRPr="00D36AFD">
        <w:rPr>
          <w:rFonts w:ascii="Times New Roman" w:eastAsia="Times New Roman" w:hAnsi="Times New Roman" w:cs="Times New Roman"/>
          <w:color w:val="000000"/>
          <w:sz w:val="24"/>
          <w:szCs w:val="24"/>
        </w:rPr>
        <w:t>. There is a rising global burden of obesity and NCDs, largely driven by unhealthy food environments</w:t>
      </w:r>
      <w:r w:rsidRPr="00D36AFD">
        <w:rPr>
          <w:rFonts w:ascii="Times New Roman" w:eastAsia="Times New Roman" w:hAnsi="Times New Roman" w:cs="Times New Roman"/>
          <w:color w:val="000000"/>
          <w:sz w:val="24"/>
          <w:szCs w:val="24"/>
          <w:vertAlign w:val="superscript"/>
        </w:rPr>
        <w:t>25</w:t>
      </w:r>
      <w:r w:rsidRPr="00D36AFD">
        <w:rPr>
          <w:rFonts w:ascii="Times New Roman" w:eastAsia="Times New Roman" w:hAnsi="Times New Roman" w:cs="Times New Roman"/>
          <w:color w:val="000000"/>
          <w:sz w:val="24"/>
          <w:szCs w:val="24"/>
        </w:rPr>
        <w:t xml:space="preserve"> while undernutrition </w:t>
      </w:r>
      <w:proofErr w:type="gramStart"/>
      <w:r w:rsidRPr="00D36AFD">
        <w:rPr>
          <w:rFonts w:ascii="Times New Roman" w:eastAsia="Times New Roman" w:hAnsi="Times New Roman" w:cs="Times New Roman"/>
          <w:color w:val="000000"/>
          <w:sz w:val="24"/>
          <w:szCs w:val="24"/>
        </w:rPr>
        <w:t>still remains</w:t>
      </w:r>
      <w:proofErr w:type="gramEnd"/>
      <w:r w:rsidRPr="00D36AFD">
        <w:rPr>
          <w:rFonts w:ascii="Times New Roman" w:eastAsia="Times New Roman" w:hAnsi="Times New Roman" w:cs="Times New Roman"/>
          <w:color w:val="000000"/>
          <w:sz w:val="24"/>
          <w:szCs w:val="24"/>
        </w:rPr>
        <w:t xml:space="preserve"> a challenge in LMICs</w:t>
      </w:r>
      <w:r w:rsidRPr="00D36AFD">
        <w:rPr>
          <w:rFonts w:ascii="Times New Roman" w:eastAsia="Times New Roman" w:hAnsi="Times New Roman" w:cs="Times New Roman"/>
          <w:color w:val="000000"/>
          <w:sz w:val="24"/>
          <w:szCs w:val="24"/>
          <w:vertAlign w:val="superscript"/>
        </w:rPr>
        <w:t>16</w:t>
      </w:r>
      <w:r w:rsidRPr="00D36AFD">
        <w:rPr>
          <w:rFonts w:ascii="Times New Roman" w:eastAsia="Times New Roman" w:hAnsi="Times New Roman" w:cs="Times New Roman"/>
          <w:color w:val="000000"/>
          <w:sz w:val="24"/>
          <w:szCs w:val="24"/>
        </w:rPr>
        <w:t>.</w:t>
      </w:r>
    </w:p>
    <w:p w14:paraId="4CA8C971"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There is a rising double burden of malnutrition in many low and middle-income countries due to the rising prevalence of overweight, and the rates of stunting that are largely linked to poor nutrition and environmental conditions</w:t>
      </w:r>
      <w:r w:rsidRPr="00D36AFD">
        <w:rPr>
          <w:rFonts w:ascii="Times New Roman" w:eastAsia="Times New Roman" w:hAnsi="Times New Roman" w:cs="Times New Roman"/>
          <w:color w:val="000000"/>
          <w:sz w:val="24"/>
          <w:szCs w:val="24"/>
          <w:vertAlign w:val="superscript"/>
        </w:rPr>
        <w:t>26</w:t>
      </w:r>
      <w:r w:rsidRPr="00D36AFD">
        <w:rPr>
          <w:rFonts w:ascii="Times New Roman" w:eastAsia="Times New Roman" w:hAnsi="Times New Roman" w:cs="Times New Roman"/>
          <w:color w:val="000000"/>
          <w:sz w:val="24"/>
          <w:szCs w:val="24"/>
        </w:rPr>
        <w:t xml:space="preserve"> even though slowly declining, are still present</w:t>
      </w:r>
      <w:r w:rsidRPr="00D36AFD">
        <w:rPr>
          <w:rFonts w:ascii="Times New Roman" w:eastAsia="Times New Roman" w:hAnsi="Times New Roman" w:cs="Times New Roman"/>
          <w:color w:val="000000"/>
          <w:sz w:val="24"/>
          <w:szCs w:val="24"/>
          <w:vertAlign w:val="superscript"/>
        </w:rPr>
        <w:t>27</w:t>
      </w:r>
      <w:r w:rsidRPr="00D36AFD">
        <w:rPr>
          <w:rFonts w:ascii="Times New Roman" w:eastAsia="Times New Roman" w:hAnsi="Times New Roman" w:cs="Times New Roman"/>
          <w:color w:val="000000"/>
          <w:sz w:val="24"/>
          <w:szCs w:val="24"/>
        </w:rPr>
        <w:t>. The prevalence of overweight is higher in urban areas and linked to higher social incomes</w:t>
      </w:r>
      <w:r w:rsidRPr="00D36AFD">
        <w:rPr>
          <w:rFonts w:ascii="Times New Roman" w:eastAsia="Times New Roman" w:hAnsi="Times New Roman" w:cs="Times New Roman"/>
          <w:color w:val="000000"/>
          <w:sz w:val="24"/>
          <w:szCs w:val="24"/>
          <w:vertAlign w:val="superscript"/>
        </w:rPr>
        <w:t>28</w:t>
      </w:r>
      <w:r w:rsidRPr="00D36AFD">
        <w:rPr>
          <w:rFonts w:ascii="Times New Roman" w:eastAsia="Times New Roman" w:hAnsi="Times New Roman" w:cs="Times New Roman"/>
          <w:color w:val="000000"/>
          <w:sz w:val="24"/>
          <w:szCs w:val="24"/>
        </w:rPr>
        <w:t xml:space="preserve"> and is evident in both adults and children</w:t>
      </w:r>
      <w:r w:rsidRPr="00D36AFD">
        <w:rPr>
          <w:rFonts w:ascii="Times New Roman" w:eastAsia="Times New Roman" w:hAnsi="Times New Roman" w:cs="Times New Roman"/>
          <w:color w:val="000000"/>
          <w:sz w:val="24"/>
          <w:szCs w:val="24"/>
          <w:vertAlign w:val="superscript"/>
        </w:rPr>
        <w:t>29,30</w:t>
      </w:r>
      <w:r w:rsidRPr="00D36AFD">
        <w:rPr>
          <w:rFonts w:ascii="Times New Roman" w:eastAsia="Times New Roman" w:hAnsi="Times New Roman" w:cs="Times New Roman"/>
          <w:color w:val="000000"/>
          <w:sz w:val="24"/>
          <w:szCs w:val="24"/>
        </w:rPr>
        <w:t>.</w:t>
      </w:r>
    </w:p>
    <w:p w14:paraId="0244DD8E"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The conditions of overweight are largely driven by unhealthy food environments. On the continent, processed, ultra-processed foods and sugar-sweetened beverages (SSBs) are increasingly becoming available and consumed</w:t>
      </w:r>
      <w:r w:rsidRPr="00D36AFD">
        <w:rPr>
          <w:rFonts w:ascii="Times New Roman" w:eastAsia="Times New Roman" w:hAnsi="Times New Roman" w:cs="Times New Roman"/>
          <w:color w:val="000000"/>
          <w:sz w:val="24"/>
          <w:szCs w:val="24"/>
          <w:vertAlign w:val="superscript"/>
        </w:rPr>
        <w:t>31</w:t>
      </w:r>
      <w:r w:rsidRPr="00D36AFD">
        <w:rPr>
          <w:rFonts w:ascii="Times New Roman" w:eastAsia="Times New Roman" w:hAnsi="Times New Roman" w:cs="Times New Roman"/>
          <w:color w:val="000000"/>
          <w:sz w:val="24"/>
          <w:szCs w:val="24"/>
        </w:rPr>
        <w:t>. Further, there is reduced physical activity due to increased activity-saving technology</w:t>
      </w:r>
      <w:r w:rsidRPr="00D36AFD">
        <w:rPr>
          <w:rFonts w:ascii="Times New Roman" w:eastAsia="Times New Roman" w:hAnsi="Times New Roman" w:cs="Times New Roman"/>
          <w:color w:val="000000"/>
          <w:sz w:val="24"/>
          <w:szCs w:val="24"/>
          <w:vertAlign w:val="superscript"/>
        </w:rPr>
        <w:t>16</w:t>
      </w:r>
      <w:r w:rsidRPr="00D36AFD">
        <w:rPr>
          <w:rFonts w:ascii="Times New Roman" w:eastAsia="Times New Roman" w:hAnsi="Times New Roman" w:cs="Times New Roman"/>
          <w:color w:val="000000"/>
          <w:sz w:val="24"/>
          <w:szCs w:val="24"/>
        </w:rPr>
        <w:t>.</w:t>
      </w:r>
    </w:p>
    <w:p w14:paraId="26F43A79"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This shift in diets and its effects on increasing overweight and obesity in the population calls for rapid policy prioritization </w:t>
      </w:r>
      <w:proofErr w:type="gramStart"/>
      <w:r w:rsidRPr="00D36AFD">
        <w:rPr>
          <w:rFonts w:ascii="Times New Roman" w:eastAsia="Times New Roman" w:hAnsi="Times New Roman" w:cs="Times New Roman"/>
          <w:color w:val="000000"/>
          <w:sz w:val="24"/>
          <w:szCs w:val="24"/>
        </w:rPr>
        <w:t>in order to</w:t>
      </w:r>
      <w:proofErr w:type="gramEnd"/>
      <w:r w:rsidRPr="00D36AFD">
        <w:rPr>
          <w:rFonts w:ascii="Times New Roman" w:eastAsia="Times New Roman" w:hAnsi="Times New Roman" w:cs="Times New Roman"/>
          <w:color w:val="000000"/>
          <w:sz w:val="24"/>
          <w:szCs w:val="24"/>
        </w:rPr>
        <w:t xml:space="preserve"> curb a potential increase in non-communicable diseases such as hypertension and cardiovascular diseases. In many African countries, existing policies have a focus on reducing hunger</w:t>
      </w:r>
      <w:r w:rsidRPr="00D36AFD">
        <w:rPr>
          <w:rFonts w:ascii="Times New Roman" w:eastAsia="Times New Roman" w:hAnsi="Times New Roman" w:cs="Times New Roman"/>
          <w:color w:val="000000"/>
          <w:sz w:val="24"/>
          <w:szCs w:val="24"/>
          <w:vertAlign w:val="superscript"/>
        </w:rPr>
        <w:t>32</w:t>
      </w:r>
      <w:r w:rsidRPr="00D36AFD">
        <w:rPr>
          <w:rFonts w:ascii="Times New Roman" w:eastAsia="Times New Roman" w:hAnsi="Times New Roman" w:cs="Times New Roman"/>
          <w:color w:val="000000"/>
          <w:sz w:val="24"/>
          <w:szCs w:val="24"/>
        </w:rPr>
        <w:t>. Whilst nutrient deficiencies may be curbed by poverty reduction measures and obesity prevention, its reduction requires education and physical activity promotion and the encouragement of local food production</w:t>
      </w:r>
      <w:r w:rsidRPr="00D36AFD">
        <w:rPr>
          <w:rFonts w:ascii="Times New Roman" w:eastAsia="Times New Roman" w:hAnsi="Times New Roman" w:cs="Times New Roman"/>
          <w:color w:val="000000"/>
          <w:sz w:val="24"/>
          <w:szCs w:val="24"/>
          <w:vertAlign w:val="superscript"/>
        </w:rPr>
        <w:t>33</w:t>
      </w:r>
      <w:r w:rsidRPr="00D36AFD">
        <w:rPr>
          <w:rFonts w:ascii="Times New Roman" w:eastAsia="Times New Roman" w:hAnsi="Times New Roman" w:cs="Times New Roman"/>
          <w:color w:val="000000"/>
          <w:sz w:val="24"/>
          <w:szCs w:val="24"/>
        </w:rPr>
        <w:t xml:space="preserve">. Policies that tackle </w:t>
      </w:r>
      <w:proofErr w:type="gramStart"/>
      <w:r w:rsidRPr="00D36AFD">
        <w:rPr>
          <w:rFonts w:ascii="Times New Roman" w:eastAsia="Times New Roman" w:hAnsi="Times New Roman" w:cs="Times New Roman"/>
          <w:color w:val="000000"/>
          <w:sz w:val="24"/>
          <w:szCs w:val="24"/>
        </w:rPr>
        <w:t>diet-related</w:t>
      </w:r>
      <w:proofErr w:type="gramEnd"/>
      <w:r w:rsidRPr="00D36AFD">
        <w:rPr>
          <w:rFonts w:ascii="Times New Roman" w:eastAsia="Times New Roman" w:hAnsi="Times New Roman" w:cs="Times New Roman"/>
          <w:color w:val="000000"/>
          <w:sz w:val="24"/>
          <w:szCs w:val="24"/>
        </w:rPr>
        <w:t xml:space="preserve"> NCDs are likely to contribute to the reduction of the double burden of malnutrition (DBM).</w:t>
      </w:r>
    </w:p>
    <w:p w14:paraId="0273FC0B"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Integrated actions or double-duty actions, including policies, programmes, and interventions, have the potential to reduce the risk and burden of under and over-nutrition. Evidence from other countries shows that selected policies focused on healthy weaning foods address stunting, while taxes on SSBs and nutrition labelling can protect the population from consumption of unhealthy foods</w:t>
      </w:r>
      <w:r w:rsidRPr="00D36AFD">
        <w:rPr>
          <w:rFonts w:ascii="Times New Roman" w:eastAsia="Times New Roman" w:hAnsi="Times New Roman" w:cs="Times New Roman"/>
          <w:color w:val="000000"/>
          <w:sz w:val="24"/>
          <w:szCs w:val="24"/>
          <w:vertAlign w:val="superscript"/>
        </w:rPr>
        <w:t>31</w:t>
      </w:r>
      <w:r w:rsidRPr="00D36AFD">
        <w:rPr>
          <w:rFonts w:ascii="Times New Roman" w:eastAsia="Times New Roman" w:hAnsi="Times New Roman" w:cs="Times New Roman"/>
          <w:color w:val="000000"/>
          <w:sz w:val="24"/>
          <w:szCs w:val="24"/>
        </w:rPr>
        <w:t>. In Brazil, the development of nutrition policies is geared towards creating health-promoting</w:t>
      </w:r>
      <w:r w:rsidRPr="00D36AFD">
        <w:t xml:space="preserve"> </w:t>
      </w:r>
      <w:r w:rsidRPr="00D36AFD">
        <w:rPr>
          <w:rFonts w:ascii="Times New Roman" w:eastAsia="Times New Roman" w:hAnsi="Times New Roman" w:cs="Times New Roman"/>
          <w:color w:val="000000"/>
          <w:sz w:val="24"/>
          <w:szCs w:val="24"/>
        </w:rPr>
        <w:t xml:space="preserve">environments at schools and surrounding environments, while Chile is implementing a child protection system centred on the overall better health development of the </w:t>
      </w:r>
      <w:r w:rsidRPr="00D36AFD">
        <w:rPr>
          <w:rFonts w:ascii="Times New Roman" w:eastAsia="Times New Roman" w:hAnsi="Times New Roman" w:cs="Times New Roman"/>
          <w:color w:val="000000"/>
          <w:sz w:val="24"/>
          <w:szCs w:val="24"/>
        </w:rPr>
        <w:lastRenderedPageBreak/>
        <w:t>child</w:t>
      </w:r>
      <w:r w:rsidRPr="00D36AFD">
        <w:rPr>
          <w:rFonts w:ascii="Times New Roman" w:eastAsia="Times New Roman" w:hAnsi="Times New Roman" w:cs="Times New Roman"/>
          <w:color w:val="000000"/>
          <w:sz w:val="24"/>
          <w:szCs w:val="24"/>
          <w:vertAlign w:val="superscript"/>
        </w:rPr>
        <w:t>34</w:t>
      </w:r>
      <w:r w:rsidRPr="00D36AFD">
        <w:rPr>
          <w:rFonts w:ascii="Times New Roman" w:eastAsia="Times New Roman" w:hAnsi="Times New Roman" w:cs="Times New Roman"/>
          <w:color w:val="000000"/>
          <w:sz w:val="24"/>
          <w:szCs w:val="24"/>
        </w:rPr>
        <w:t>. Countries that have had such undertakings note the limited perception of policy actors to the link between nutrition and marketing restrictions of some foods and the power and the imbalances between industry and public health stakeholders</w:t>
      </w:r>
      <w:r w:rsidRPr="00D36AFD">
        <w:rPr>
          <w:rFonts w:ascii="Times New Roman" w:eastAsia="Times New Roman" w:hAnsi="Times New Roman" w:cs="Times New Roman"/>
          <w:color w:val="000000"/>
          <w:sz w:val="24"/>
          <w:szCs w:val="24"/>
          <w:vertAlign w:val="superscript"/>
        </w:rPr>
        <w:t>35</w:t>
      </w:r>
      <w:r w:rsidRPr="00D36AFD">
        <w:rPr>
          <w:rFonts w:ascii="Times New Roman" w:eastAsia="Times New Roman" w:hAnsi="Times New Roman" w:cs="Times New Roman"/>
          <w:color w:val="000000"/>
          <w:sz w:val="24"/>
          <w:szCs w:val="24"/>
        </w:rPr>
        <w:t xml:space="preserve">. This presents the need for advocacy work </w:t>
      </w:r>
      <w:proofErr w:type="gramStart"/>
      <w:r w:rsidRPr="00D36AFD">
        <w:rPr>
          <w:rFonts w:ascii="Times New Roman" w:eastAsia="Times New Roman" w:hAnsi="Times New Roman" w:cs="Times New Roman"/>
          <w:color w:val="000000"/>
          <w:sz w:val="24"/>
          <w:szCs w:val="24"/>
        </w:rPr>
        <w:t>in order to</w:t>
      </w:r>
      <w:proofErr w:type="gramEnd"/>
      <w:r w:rsidRPr="00D36AFD">
        <w:rPr>
          <w:rFonts w:ascii="Times New Roman" w:eastAsia="Times New Roman" w:hAnsi="Times New Roman" w:cs="Times New Roman"/>
          <w:color w:val="000000"/>
          <w:sz w:val="24"/>
          <w:szCs w:val="24"/>
        </w:rPr>
        <w:t xml:space="preserve"> bring the desired change.</w:t>
      </w:r>
    </w:p>
    <w:p w14:paraId="3698F26F"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Kenya lacks policies for regulating the food environment, and there is a high level of unhealthy food consumption</w:t>
      </w:r>
      <w:r w:rsidRPr="00D36AFD">
        <w:rPr>
          <w:rFonts w:ascii="Times New Roman" w:eastAsia="Times New Roman" w:hAnsi="Times New Roman" w:cs="Times New Roman"/>
          <w:color w:val="000000"/>
          <w:sz w:val="24"/>
          <w:szCs w:val="24"/>
          <w:vertAlign w:val="superscript"/>
        </w:rPr>
        <w:t>1</w:t>
      </w:r>
      <w:r w:rsidRPr="00D36AFD">
        <w:rPr>
          <w:rFonts w:ascii="Times New Roman" w:eastAsia="Times New Roman" w:hAnsi="Times New Roman" w:cs="Times New Roman"/>
          <w:color w:val="000000"/>
          <w:sz w:val="24"/>
          <w:szCs w:val="24"/>
        </w:rPr>
        <w:t xml:space="preserve">. Within the RECAP program, APHRC, through funding from IDRC has worked closely with the Kenya Ministry of Health and generated further evidence through policy reviews, and qualitative interviews with policy makers and completed primary data collection on marketing restrictions around schools, in-store and in traditional media. Preliminary findings have revealed strong political support, a comprehensive government action plan, and efforts to develop and implement more food environment policies. The policy experts in Kenya have identified nutrition labelling for processed foods, fiscal policies, restriction of marketing of foods to children, and public procurement policies as a high priority in Kenya.  Through another collaborative project (INFORMAS 2.0) funded by IDRC, APHRC explores the inclusion indicators for creating healthy and sustainable food systems. </w:t>
      </w:r>
    </w:p>
    <w:p w14:paraId="24996E43" w14:textId="77777777" w:rsidR="00940635" w:rsidRPr="00D36AFD" w:rsidRDefault="00081B51">
      <w:pPr>
        <w:pStyle w:val="Heading1"/>
      </w:pPr>
      <w:bookmarkStart w:id="4" w:name="_heading=h.2et92p0" w:colFirst="0" w:colLast="0"/>
      <w:bookmarkEnd w:id="4"/>
      <w:r w:rsidRPr="00D36AFD">
        <w:t xml:space="preserve">Research Objectives  </w:t>
      </w:r>
    </w:p>
    <w:p w14:paraId="2D27B3F8" w14:textId="77777777" w:rsidR="00940635" w:rsidRPr="00D36AFD" w:rsidRDefault="00081B51">
      <w:pPr>
        <w:pStyle w:val="Heading2"/>
      </w:pPr>
      <w:bookmarkStart w:id="5" w:name="_heading=h.tyjcwt" w:colFirst="0" w:colLast="0"/>
      <w:bookmarkEnd w:id="5"/>
      <w:r w:rsidRPr="00D36AFD">
        <w:t xml:space="preserve">General Objectives </w:t>
      </w:r>
    </w:p>
    <w:p w14:paraId="672FEA56"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To build evidence and mobilize multi-stakeholder actions toward a policy bundle for healthier and more equitable consumer food environments that reduce the double burden of malnutrition.    </w:t>
      </w:r>
    </w:p>
    <w:p w14:paraId="343DDCC1" w14:textId="77777777" w:rsidR="00940635" w:rsidRPr="00D36AFD" w:rsidRDefault="00081B51">
      <w:pPr>
        <w:pStyle w:val="Heading2"/>
      </w:pPr>
      <w:bookmarkStart w:id="6" w:name="_heading=h.3dy6vkm" w:colFirst="0" w:colLast="0"/>
      <w:bookmarkEnd w:id="6"/>
      <w:r w:rsidRPr="00D36AFD">
        <w:t>Project Specific Objectives</w:t>
      </w:r>
    </w:p>
    <w:p w14:paraId="444AA716" w14:textId="77777777" w:rsidR="00940635" w:rsidRPr="00D36AFD" w:rsidRDefault="00081B51">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bookmarkStart w:id="7" w:name="_heading=h.1pxezwc" w:colFirst="0" w:colLast="0"/>
      <w:bookmarkEnd w:id="7"/>
      <w:r w:rsidRPr="00D36AFD">
        <w:rPr>
          <w:rFonts w:ascii="Times New Roman" w:eastAsia="Times New Roman" w:hAnsi="Times New Roman" w:cs="Times New Roman"/>
          <w:color w:val="000000"/>
          <w:sz w:val="24"/>
          <w:szCs w:val="24"/>
        </w:rPr>
        <w:t xml:space="preserve">Validate and build consensus for a fit-for-local-purpose nutrient profiling system. </w:t>
      </w:r>
    </w:p>
    <w:p w14:paraId="7EF8E210" w14:textId="77777777" w:rsidR="00940635" w:rsidRPr="00D36AFD" w:rsidRDefault="00081B51">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Explore consumers’ perceptions and understanding of proposed front of pack labelling symbols to be placed on foods and non-alcoholic beverages in Kenya and their insights into features that could influence the effectiveness of the symbols. </w:t>
      </w:r>
    </w:p>
    <w:p w14:paraId="2D056F4F" w14:textId="77777777" w:rsidR="00940635" w:rsidRPr="00D36AFD" w:rsidRDefault="00081B51">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 Assess effectiveness of proposed FoPL options to steer consumers away from unhealthy food options (aversion) and/or steer them towards healthier options (attraction).</w:t>
      </w:r>
    </w:p>
    <w:p w14:paraId="448BE7F7" w14:textId="77777777" w:rsidR="00940635" w:rsidRPr="00D36AFD" w:rsidRDefault="00081B51">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Review the legal system and law-making processes to locate feasible policy options and human right approaches to push for stronger accountability by the </w:t>
      </w:r>
      <w:proofErr w:type="gramStart"/>
      <w:r w:rsidRPr="00D36AFD">
        <w:rPr>
          <w:rFonts w:ascii="Times New Roman" w:eastAsia="Times New Roman" w:hAnsi="Times New Roman" w:cs="Times New Roman"/>
          <w:color w:val="000000"/>
          <w:sz w:val="24"/>
          <w:szCs w:val="24"/>
        </w:rPr>
        <w:t>government</w:t>
      </w:r>
      <w:proofErr w:type="gramEnd"/>
    </w:p>
    <w:p w14:paraId="464EC666" w14:textId="77777777" w:rsidR="00940635" w:rsidRPr="00D36AFD" w:rsidRDefault="00081B51">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Determine what approaches are needed to address gender and other inequity in the food systems.</w:t>
      </w:r>
    </w:p>
    <w:p w14:paraId="571DFE76" w14:textId="77777777" w:rsidR="00940635" w:rsidRPr="00D36AFD" w:rsidRDefault="00081B51">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Facilitate understanding of pathways for effective policy adoption, implementation, and monitoring of outcomes for changing consumer food environments.  </w:t>
      </w:r>
    </w:p>
    <w:p w14:paraId="34B7D2AE" w14:textId="77777777" w:rsidR="00940635" w:rsidRPr="00D36AFD" w:rsidRDefault="00081B51">
      <w:pPr>
        <w:pStyle w:val="Heading1"/>
      </w:pPr>
      <w:bookmarkStart w:id="8" w:name="_heading=h.1t3h5sf" w:colFirst="0" w:colLast="0"/>
      <w:bookmarkEnd w:id="8"/>
      <w:r w:rsidRPr="00D36AFD">
        <w:lastRenderedPageBreak/>
        <w:t xml:space="preserve">Research questions  </w:t>
      </w:r>
    </w:p>
    <w:p w14:paraId="0B1A2093" w14:textId="77777777" w:rsidR="00940635" w:rsidRPr="00D36AFD" w:rsidRDefault="00081B51">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How appropriate is the nutrient profiling system to the Kenyan context?</w:t>
      </w:r>
    </w:p>
    <w:p w14:paraId="04606632" w14:textId="77777777" w:rsidR="00940635" w:rsidRPr="00D36AFD" w:rsidRDefault="00081B51">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Which symbol of FoPL is easily understood and interpreted by consumers</w:t>
      </w:r>
    </w:p>
    <w:p w14:paraId="013D47E3" w14:textId="77777777" w:rsidR="00940635" w:rsidRPr="00D36AFD" w:rsidRDefault="00081B51">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How does the FoPL influence consumer choice for healthy food?</w:t>
      </w:r>
    </w:p>
    <w:p w14:paraId="26FB7A07" w14:textId="77777777" w:rsidR="00940635" w:rsidRPr="00D36AFD" w:rsidRDefault="00081B51">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Does Kenya's legal system provide government accountability in the policy-making process?</w:t>
      </w:r>
    </w:p>
    <w:p w14:paraId="1885189E" w14:textId="77777777" w:rsidR="00940635" w:rsidRPr="00D36AFD" w:rsidRDefault="00081B51">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How can gender inequalities in the food systems be addressed?</w:t>
      </w:r>
    </w:p>
    <w:p w14:paraId="450E1B9C" w14:textId="77777777" w:rsidR="00940635" w:rsidRPr="00D36AFD" w:rsidRDefault="00081B51">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What are the effective pathways for policy adoption, implementation, and monitoring of outcomes that can change the food environment for the better?</w:t>
      </w:r>
    </w:p>
    <w:p w14:paraId="49460654" w14:textId="77777777" w:rsidR="00940635" w:rsidRPr="00D36AFD" w:rsidRDefault="00081B51">
      <w:pPr>
        <w:pStyle w:val="Heading1"/>
      </w:pPr>
      <w:bookmarkStart w:id="9" w:name="_heading=h.4d34og8" w:colFirst="0" w:colLast="0"/>
      <w:bookmarkEnd w:id="9"/>
      <w:r w:rsidRPr="00D36AFD">
        <w:t>Conceptual framework</w:t>
      </w:r>
    </w:p>
    <w:p w14:paraId="1E6D8DCC"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Our theory of change conceptualises that prevention of NCDs in Kenya is largely driven by healthy diets, which are in turn influenced by a healthy food environment. Simultaneous implementation of multiple policies, preferably double-duty policies tackling all forms of malnutrition, will lead to a healthy food environment and a reduction in unhealthy food consumption and an increase in healthy foods. For these policies to be developed a nutrition profiling system that categorises foods in Kenya into unhealthy and healthy foods is needed. Figure 1 shows the four main policy areas in which actions can be taken by the Kenyan government to change food environments.</w:t>
      </w:r>
    </w:p>
    <w:p w14:paraId="6BE5974F" w14:textId="77777777" w:rsidR="00940635" w:rsidRPr="00D36AFD" w:rsidRDefault="00081B51">
      <w:pPr>
        <w:keepNext/>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noProof/>
          <w:color w:val="000000"/>
          <w:sz w:val="24"/>
          <w:szCs w:val="24"/>
          <w:lang w:eastAsia="en-GB"/>
        </w:rPr>
        <w:drawing>
          <wp:inline distT="0" distB="0" distL="0" distR="0" wp14:anchorId="578FC9F3" wp14:editId="424357CD">
            <wp:extent cx="5968085" cy="2858084"/>
            <wp:effectExtent l="0" t="0" r="0" b="0"/>
            <wp:docPr id="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68085" cy="2858084"/>
                    </a:xfrm>
                    <a:prstGeom prst="rect">
                      <a:avLst/>
                    </a:prstGeom>
                    <a:ln/>
                  </pic:spPr>
                </pic:pic>
              </a:graphicData>
            </a:graphic>
          </wp:inline>
        </w:drawing>
      </w:r>
    </w:p>
    <w:p w14:paraId="61EAA77C" w14:textId="77777777" w:rsidR="00940635" w:rsidRPr="00D36AFD" w:rsidRDefault="00081B51">
      <w:pPr>
        <w:pBdr>
          <w:top w:val="nil"/>
          <w:left w:val="nil"/>
          <w:bottom w:val="nil"/>
          <w:right w:val="nil"/>
          <w:between w:val="nil"/>
        </w:pBdr>
        <w:spacing w:after="200" w:line="360" w:lineRule="auto"/>
        <w:jc w:val="both"/>
        <w:rPr>
          <w:rFonts w:ascii="Times New Roman" w:eastAsia="Times New Roman" w:hAnsi="Times New Roman" w:cs="Times New Roman"/>
          <w:i/>
          <w:color w:val="000000"/>
          <w:sz w:val="24"/>
          <w:szCs w:val="24"/>
        </w:rPr>
      </w:pPr>
      <w:r w:rsidRPr="00D36AFD">
        <w:rPr>
          <w:rFonts w:ascii="Times New Roman" w:eastAsia="Times New Roman" w:hAnsi="Times New Roman" w:cs="Times New Roman"/>
          <w:i/>
          <w:color w:val="000000"/>
          <w:sz w:val="24"/>
          <w:szCs w:val="24"/>
        </w:rPr>
        <w:t>Figure 1: Proposed theory of change for the food environment policy bundle (adapted from IDRC and Rockefeller foundation)</w:t>
      </w:r>
    </w:p>
    <w:p w14:paraId="02282E92" w14:textId="77777777" w:rsidR="00940635" w:rsidRPr="00D36AFD" w:rsidRDefault="00940635">
      <w:pPr>
        <w:spacing w:line="360" w:lineRule="auto"/>
        <w:jc w:val="both"/>
        <w:rPr>
          <w:rFonts w:ascii="Times New Roman" w:eastAsia="Times New Roman" w:hAnsi="Times New Roman" w:cs="Times New Roman"/>
          <w:b/>
          <w:color w:val="000000"/>
          <w:sz w:val="24"/>
          <w:szCs w:val="24"/>
        </w:rPr>
        <w:sectPr w:rsidR="00940635" w:rsidRPr="00D36AFD" w:rsidSect="00401414">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1"/>
          <w:cols w:space="720"/>
        </w:sectPr>
      </w:pPr>
    </w:p>
    <w:p w14:paraId="5A8F4771" w14:textId="77777777" w:rsidR="00940635" w:rsidRPr="00D36AFD" w:rsidRDefault="00081B51">
      <w:pPr>
        <w:pStyle w:val="Heading1"/>
      </w:pPr>
      <w:bookmarkStart w:id="10" w:name="_heading=h.2s8eyo1" w:colFirst="0" w:colLast="0"/>
      <w:bookmarkEnd w:id="10"/>
      <w:r w:rsidRPr="00D36AFD">
        <w:lastRenderedPageBreak/>
        <w:t>Methodology</w:t>
      </w:r>
    </w:p>
    <w:p w14:paraId="45B4A0EE" w14:textId="77777777" w:rsidR="00940635" w:rsidRPr="00D36AFD" w:rsidRDefault="00081B51">
      <w:pPr>
        <w:pStyle w:val="Heading2"/>
      </w:pPr>
      <w:bookmarkStart w:id="11" w:name="_heading=h.17dp8vu" w:colFirst="0" w:colLast="0"/>
      <w:bookmarkEnd w:id="11"/>
      <w:r w:rsidRPr="00D36AFD">
        <w:t>Study design and Study Participants</w:t>
      </w:r>
    </w:p>
    <w:p w14:paraId="3D8EA400" w14:textId="77777777" w:rsidR="00940635" w:rsidRPr="00D36AFD" w:rsidRDefault="00081B51">
      <w:pPr>
        <w:tabs>
          <w:tab w:val="left" w:pos="360"/>
          <w:tab w:val="left" w:pos="720"/>
          <w:tab w:val="left" w:pos="1080"/>
          <w:tab w:val="left" w:pos="1440"/>
        </w:tabs>
        <w:spacing w:before="120" w:after="74" w:line="36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A mixed methods approach will be used. These methods are outlined briefly below and in detail thereafter.</w:t>
      </w:r>
    </w:p>
    <w:p w14:paraId="2436702A" w14:textId="77777777" w:rsidR="00940635" w:rsidRPr="00D36AFD" w:rsidRDefault="00081B51">
      <w:pPr>
        <w:spacing w:line="276" w:lineRule="auto"/>
        <w:rPr>
          <w:rFonts w:ascii="Times New Roman" w:eastAsia="Times New Roman" w:hAnsi="Times New Roman" w:cs="Times New Roman"/>
          <w:u w:val="single"/>
        </w:rPr>
      </w:pPr>
      <w:r w:rsidRPr="00D36AFD">
        <w:rPr>
          <w:rFonts w:ascii="Times New Roman" w:eastAsia="Times New Roman" w:hAnsi="Times New Roman" w:cs="Times New Roman"/>
          <w:u w:val="single"/>
        </w:rPr>
        <w:t>Table 1. Summary of methodologies for each objective.</w:t>
      </w:r>
    </w:p>
    <w:tbl>
      <w:tblPr>
        <w:tblStyle w:val="aa"/>
        <w:tblW w:w="137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4"/>
        <w:gridCol w:w="4203"/>
        <w:gridCol w:w="3088"/>
        <w:gridCol w:w="2526"/>
        <w:gridCol w:w="3544"/>
      </w:tblGrid>
      <w:tr w:rsidR="00940635" w:rsidRPr="00D36AFD" w14:paraId="28DF20EC" w14:textId="77777777">
        <w:trPr>
          <w:trHeight w:val="282"/>
        </w:trPr>
        <w:tc>
          <w:tcPr>
            <w:tcW w:w="384" w:type="dxa"/>
          </w:tcPr>
          <w:p w14:paraId="5779BEC4" w14:textId="77777777" w:rsidR="00940635" w:rsidRPr="00D36AFD" w:rsidRDefault="00940635">
            <w:pPr>
              <w:spacing w:line="276" w:lineRule="auto"/>
              <w:rPr>
                <w:rFonts w:ascii="Times New Roman" w:eastAsia="Times New Roman" w:hAnsi="Times New Roman" w:cs="Times New Roman"/>
              </w:rPr>
            </w:pPr>
          </w:p>
        </w:tc>
        <w:tc>
          <w:tcPr>
            <w:tcW w:w="4203" w:type="dxa"/>
          </w:tcPr>
          <w:p w14:paraId="7498584A"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t>Objective</w:t>
            </w:r>
          </w:p>
        </w:tc>
        <w:tc>
          <w:tcPr>
            <w:tcW w:w="3088" w:type="dxa"/>
          </w:tcPr>
          <w:p w14:paraId="13800F17"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t xml:space="preserve">Methodology </w:t>
            </w:r>
          </w:p>
        </w:tc>
        <w:tc>
          <w:tcPr>
            <w:tcW w:w="2526" w:type="dxa"/>
          </w:tcPr>
          <w:p w14:paraId="32CF90BD"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t>Study area</w:t>
            </w:r>
          </w:p>
        </w:tc>
        <w:tc>
          <w:tcPr>
            <w:tcW w:w="3544" w:type="dxa"/>
          </w:tcPr>
          <w:p w14:paraId="5FF08304"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t>Study Sample</w:t>
            </w:r>
          </w:p>
        </w:tc>
      </w:tr>
      <w:tr w:rsidR="00940635" w:rsidRPr="00D36AFD" w14:paraId="292D84C3" w14:textId="77777777">
        <w:trPr>
          <w:trHeight w:val="282"/>
        </w:trPr>
        <w:tc>
          <w:tcPr>
            <w:tcW w:w="384" w:type="dxa"/>
          </w:tcPr>
          <w:p w14:paraId="12FEC9DD"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t>1.</w:t>
            </w:r>
          </w:p>
        </w:tc>
        <w:tc>
          <w:tcPr>
            <w:tcW w:w="4203" w:type="dxa"/>
          </w:tcPr>
          <w:p w14:paraId="5392EBBD"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color w:val="000000"/>
              </w:rPr>
              <w:t>Validate and build consensus for a fit-for-local-purpose nutrient profiling system.</w:t>
            </w:r>
          </w:p>
        </w:tc>
        <w:tc>
          <w:tcPr>
            <w:tcW w:w="3088" w:type="dxa"/>
          </w:tcPr>
          <w:p w14:paraId="466AA44D"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color w:val="000000"/>
              </w:rPr>
              <w:t>Using a structured questionnaire, nutritionists will assess the relative healthiness of individual foods by ranking food in one of the six positions from ‘less healthy’ to ‘most healthy’. A comparative evaluation of these foods via the NPM will also be done</w:t>
            </w:r>
          </w:p>
        </w:tc>
        <w:tc>
          <w:tcPr>
            <w:tcW w:w="2526" w:type="dxa"/>
          </w:tcPr>
          <w:p w14:paraId="042DF45E" w14:textId="77777777" w:rsidR="00940635" w:rsidRPr="00D36AFD" w:rsidRDefault="00940635">
            <w:pPr>
              <w:spacing w:line="276" w:lineRule="auto"/>
              <w:rPr>
                <w:rFonts w:ascii="Times New Roman" w:eastAsia="Times New Roman" w:hAnsi="Times New Roman" w:cs="Times New Roman"/>
              </w:rPr>
            </w:pPr>
          </w:p>
          <w:p w14:paraId="72047E2E"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t>Study area – Kenya</w:t>
            </w:r>
          </w:p>
          <w:p w14:paraId="3169A838"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t xml:space="preserve">While this data collection will be done online, we shall select participants representative of each county in the country by conveniently </w:t>
            </w:r>
            <w:proofErr w:type="gramStart"/>
            <w:r w:rsidRPr="00D36AFD">
              <w:rPr>
                <w:rFonts w:ascii="Times New Roman" w:eastAsia="Times New Roman" w:hAnsi="Times New Roman" w:cs="Times New Roman"/>
              </w:rPr>
              <w:t>sampling  from</w:t>
            </w:r>
            <w:proofErr w:type="gramEnd"/>
            <w:r w:rsidRPr="00D36AFD">
              <w:rPr>
                <w:rFonts w:ascii="Times New Roman" w:eastAsia="Times New Roman" w:hAnsi="Times New Roman" w:cs="Times New Roman"/>
              </w:rPr>
              <w:t xml:space="preserve"> those registered by the Nutrition Association of Kenya</w:t>
            </w:r>
          </w:p>
        </w:tc>
        <w:tc>
          <w:tcPr>
            <w:tcW w:w="3544" w:type="dxa"/>
          </w:tcPr>
          <w:p w14:paraId="3D672969"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t>Nutrition experts drawn from the Nutrition Association of Kenya (NAK) with nutrition understanding will be the population to evaluate foods against the Kenya Food Composition Tables and the NPM.</w:t>
            </w:r>
          </w:p>
          <w:p w14:paraId="39AC7C68" w14:textId="77777777" w:rsidR="00940635" w:rsidRPr="00D36AFD" w:rsidRDefault="00081B51">
            <w:pPr>
              <w:rPr>
                <w:rFonts w:ascii="Times New Roman" w:eastAsia="Times New Roman" w:hAnsi="Times New Roman" w:cs="Times New Roman"/>
              </w:rPr>
            </w:pPr>
            <w:r w:rsidRPr="00D36AFD">
              <w:rPr>
                <w:rFonts w:ascii="Times New Roman" w:eastAsia="Times New Roman" w:hAnsi="Times New Roman" w:cs="Times New Roman"/>
              </w:rPr>
              <w:t>The selection will be based on purposive recommendations and selection from the directors at NAK</w:t>
            </w:r>
          </w:p>
        </w:tc>
      </w:tr>
      <w:tr w:rsidR="00940635" w:rsidRPr="00D36AFD" w14:paraId="0B802EC2" w14:textId="77777777">
        <w:trPr>
          <w:trHeight w:val="2230"/>
        </w:trPr>
        <w:tc>
          <w:tcPr>
            <w:tcW w:w="384" w:type="dxa"/>
          </w:tcPr>
          <w:p w14:paraId="524B04A8"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t>2.</w:t>
            </w:r>
          </w:p>
        </w:tc>
        <w:tc>
          <w:tcPr>
            <w:tcW w:w="4203" w:type="dxa"/>
          </w:tcPr>
          <w:p w14:paraId="22FE7660"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color w:val="000000"/>
              </w:rPr>
              <w:t>Explore consumers’ perceptions and understanding of proposed Front of Pack Labelling symbols to be placed on foods and non-alcoholic beverages in Kenya and their insights into features that could influence the effectiveness of the symbols.</w:t>
            </w:r>
          </w:p>
        </w:tc>
        <w:tc>
          <w:tcPr>
            <w:tcW w:w="3088" w:type="dxa"/>
          </w:tcPr>
          <w:p w14:paraId="17101672"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t>Twelve focus group discussions with consumers to understand</w:t>
            </w:r>
            <w:r w:rsidRPr="00D36AFD">
              <w:rPr>
                <w:rFonts w:ascii="Times New Roman" w:eastAsia="Times New Roman" w:hAnsi="Times New Roman" w:cs="Times New Roman"/>
                <w:color w:val="000000"/>
              </w:rPr>
              <w:t xml:space="preserve"> the effectiveness of the FoPLs across diverse sociodemographic groups in Kenya. </w:t>
            </w:r>
            <w:r w:rsidRPr="00D36AFD">
              <w:rPr>
                <w:rFonts w:ascii="Times New Roman" w:eastAsia="Times New Roman" w:hAnsi="Times New Roman" w:cs="Times New Roman"/>
              </w:rPr>
              <w:t xml:space="preserve"> </w:t>
            </w:r>
          </w:p>
        </w:tc>
        <w:tc>
          <w:tcPr>
            <w:tcW w:w="2526" w:type="dxa"/>
          </w:tcPr>
          <w:p w14:paraId="5F39D786"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t xml:space="preserve">A homogenous purposively </w:t>
            </w:r>
            <w:proofErr w:type="gramStart"/>
            <w:r w:rsidRPr="00D36AFD">
              <w:rPr>
                <w:rFonts w:ascii="Times New Roman" w:eastAsia="Times New Roman" w:hAnsi="Times New Roman" w:cs="Times New Roman"/>
              </w:rPr>
              <w:t>stratified  sample</w:t>
            </w:r>
            <w:proofErr w:type="gramEnd"/>
            <w:r w:rsidRPr="00D36AFD">
              <w:rPr>
                <w:rFonts w:ascii="Times New Roman" w:eastAsia="Times New Roman" w:hAnsi="Times New Roman" w:cs="Times New Roman"/>
              </w:rPr>
              <w:t xml:space="preserve"> will be drawn from the online survey sample as in  #3 below, equally representative of both the rural and urban populations </w:t>
            </w:r>
          </w:p>
        </w:tc>
        <w:tc>
          <w:tcPr>
            <w:tcW w:w="3544" w:type="dxa"/>
          </w:tcPr>
          <w:p w14:paraId="490E0DCA"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t>Homogenous stratified purposive sample of participants from the regions in #3 below will be used.</w:t>
            </w:r>
          </w:p>
          <w:p w14:paraId="3B33DD9E" w14:textId="77777777" w:rsidR="00940635" w:rsidRPr="00D36AFD" w:rsidRDefault="00081B51">
            <w:pPr>
              <w:rPr>
                <w:rFonts w:ascii="Times New Roman" w:eastAsia="Times New Roman" w:hAnsi="Times New Roman" w:cs="Times New Roman"/>
              </w:rPr>
            </w:pPr>
            <w:r w:rsidRPr="00D36AFD">
              <w:rPr>
                <w:rFonts w:ascii="Times New Roman" w:eastAsia="Times New Roman" w:hAnsi="Times New Roman" w:cs="Times New Roman"/>
              </w:rPr>
              <w:t>Twelve FGDs with at least 10 participants in each group will be recruited observing gender diversity, socio-economic status adopted from other FoPL studies in high income countries and emerging continents.</w:t>
            </w:r>
          </w:p>
          <w:p w14:paraId="4FC9CB11" w14:textId="77777777" w:rsidR="00940635" w:rsidRPr="00D36AFD" w:rsidRDefault="00940635">
            <w:pPr>
              <w:rPr>
                <w:rFonts w:ascii="Times New Roman" w:eastAsia="Times New Roman" w:hAnsi="Times New Roman" w:cs="Times New Roman"/>
              </w:rPr>
            </w:pPr>
          </w:p>
        </w:tc>
      </w:tr>
      <w:tr w:rsidR="00940635" w:rsidRPr="00D36AFD" w14:paraId="1AD542BD" w14:textId="77777777">
        <w:trPr>
          <w:trHeight w:val="271"/>
        </w:trPr>
        <w:tc>
          <w:tcPr>
            <w:tcW w:w="384" w:type="dxa"/>
          </w:tcPr>
          <w:p w14:paraId="4F8E8B50"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t>3.</w:t>
            </w:r>
          </w:p>
        </w:tc>
        <w:tc>
          <w:tcPr>
            <w:tcW w:w="4203" w:type="dxa"/>
          </w:tcPr>
          <w:p w14:paraId="2A8356CD" w14:textId="77777777" w:rsidR="00940635" w:rsidRPr="00D36AFD" w:rsidRDefault="00081B51">
            <w:pPr>
              <w:pBdr>
                <w:top w:val="nil"/>
                <w:left w:val="nil"/>
                <w:bottom w:val="nil"/>
                <w:right w:val="nil"/>
                <w:between w:val="nil"/>
              </w:pBdr>
              <w:spacing w:line="276"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xml:space="preserve">Assess effectiveness of proposed FoPL options to steer consumers away from unhealthy food options (aversion) and/or </w:t>
            </w:r>
            <w:r w:rsidRPr="00D36AFD">
              <w:rPr>
                <w:rFonts w:ascii="Times New Roman" w:eastAsia="Times New Roman" w:hAnsi="Times New Roman" w:cs="Times New Roman"/>
                <w:color w:val="000000"/>
              </w:rPr>
              <w:lastRenderedPageBreak/>
              <w:t>steer them towards healthier options (attraction).</w:t>
            </w:r>
          </w:p>
          <w:p w14:paraId="0BA5CF0B" w14:textId="77777777" w:rsidR="00940635" w:rsidRPr="00D36AFD" w:rsidRDefault="00940635">
            <w:pPr>
              <w:spacing w:line="276" w:lineRule="auto"/>
              <w:rPr>
                <w:rFonts w:ascii="Times New Roman" w:eastAsia="Times New Roman" w:hAnsi="Times New Roman" w:cs="Times New Roman"/>
              </w:rPr>
            </w:pPr>
          </w:p>
        </w:tc>
        <w:tc>
          <w:tcPr>
            <w:tcW w:w="3088" w:type="dxa"/>
          </w:tcPr>
          <w:p w14:paraId="730480EE" w14:textId="77777777" w:rsidR="00940635" w:rsidRPr="00D36AFD" w:rsidRDefault="00081B51">
            <w:pPr>
              <w:spacing w:line="276" w:lineRule="auto"/>
              <w:rPr>
                <w:rFonts w:ascii="Times New Roman" w:eastAsia="Times New Roman" w:hAnsi="Times New Roman" w:cs="Times New Roman"/>
              </w:rPr>
            </w:pPr>
            <w:proofErr w:type="gramStart"/>
            <w:r w:rsidRPr="00D36AFD">
              <w:rPr>
                <w:rFonts w:ascii="Times New Roman" w:eastAsia="Times New Roman" w:hAnsi="Times New Roman" w:cs="Times New Roman"/>
                <w:color w:val="000000"/>
              </w:rPr>
              <w:lastRenderedPageBreak/>
              <w:t>An</w:t>
            </w:r>
            <w:proofErr w:type="gramEnd"/>
            <w:r w:rsidRPr="00D36AFD">
              <w:rPr>
                <w:rFonts w:ascii="Times New Roman" w:eastAsia="Times New Roman" w:hAnsi="Times New Roman" w:cs="Times New Roman"/>
                <w:color w:val="000000"/>
              </w:rPr>
              <w:t xml:space="preserve"> quantitative survey to assess the choice of product by asking the respondents about their </w:t>
            </w:r>
            <w:r w:rsidRPr="00D36AFD">
              <w:rPr>
                <w:rFonts w:ascii="Times New Roman" w:eastAsia="Times New Roman" w:hAnsi="Times New Roman" w:cs="Times New Roman"/>
                <w:color w:val="000000"/>
              </w:rPr>
              <w:lastRenderedPageBreak/>
              <w:t>purchase intention and their understanding of the information conveyed by the FOPLs</w:t>
            </w:r>
          </w:p>
        </w:tc>
        <w:tc>
          <w:tcPr>
            <w:tcW w:w="2526" w:type="dxa"/>
          </w:tcPr>
          <w:p w14:paraId="0ED3238C" w14:textId="77777777" w:rsidR="00940635" w:rsidRPr="00D36AFD" w:rsidRDefault="00081B51">
            <w:pPr>
              <w:spacing w:line="276" w:lineRule="auto"/>
              <w:rPr>
                <w:rFonts w:ascii="Times New Roman" w:eastAsia="Times New Roman" w:hAnsi="Times New Roman" w:cs="Times New Roman"/>
                <w:color w:val="000000"/>
              </w:rPr>
            </w:pPr>
            <w:r w:rsidRPr="00D36AFD">
              <w:rPr>
                <w:rFonts w:ascii="Times New Roman" w:eastAsia="Times New Roman" w:hAnsi="Times New Roman" w:cs="Times New Roman"/>
                <w:color w:val="000000"/>
              </w:rPr>
              <w:lastRenderedPageBreak/>
              <w:t xml:space="preserve">Participants will be drawn from across the country representative of </w:t>
            </w:r>
            <w:r w:rsidRPr="00D36AFD">
              <w:rPr>
                <w:rFonts w:ascii="Times New Roman" w:eastAsia="Times New Roman" w:hAnsi="Times New Roman" w:cs="Times New Roman"/>
                <w:color w:val="000000"/>
              </w:rPr>
              <w:lastRenderedPageBreak/>
              <w:t>both urban and rural settings. This is to allow that the views provided are representative of the general Kenyan population.</w:t>
            </w:r>
          </w:p>
        </w:tc>
        <w:tc>
          <w:tcPr>
            <w:tcW w:w="3544" w:type="dxa"/>
          </w:tcPr>
          <w:p w14:paraId="550779B7" w14:textId="77777777" w:rsidR="00940635" w:rsidRPr="00D36AFD" w:rsidRDefault="00F92FCB">
            <w:pPr>
              <w:spacing w:line="276" w:lineRule="auto"/>
              <w:rPr>
                <w:rFonts w:ascii="Times New Roman" w:eastAsia="Times New Roman" w:hAnsi="Times New Roman" w:cs="Times New Roman"/>
              </w:rPr>
            </w:pPr>
            <w:bookmarkStart w:id="12" w:name="_heading=h.49x2ik5" w:colFirst="0" w:colLast="0"/>
            <w:bookmarkEnd w:id="12"/>
            <w:r w:rsidRPr="00D36AFD">
              <w:rPr>
                <w:rFonts w:ascii="Times New Roman" w:eastAsia="Times New Roman" w:hAnsi="Times New Roman" w:cs="Times New Roman"/>
                <w:color w:val="000000"/>
              </w:rPr>
              <w:lastRenderedPageBreak/>
              <w:t>A</w:t>
            </w:r>
            <w:r w:rsidR="00F93108" w:rsidRPr="00D36AFD">
              <w:rPr>
                <w:rFonts w:ascii="Times New Roman" w:eastAsia="Times New Roman" w:hAnsi="Times New Roman" w:cs="Times New Roman"/>
                <w:color w:val="000000"/>
              </w:rPr>
              <w:t xml:space="preserve"> stratified sample of 2185</w:t>
            </w:r>
            <w:r w:rsidR="00081B51" w:rsidRPr="00D36AFD">
              <w:rPr>
                <w:rFonts w:ascii="Times New Roman" w:eastAsia="Times New Roman" w:hAnsi="Times New Roman" w:cs="Times New Roman"/>
                <w:color w:val="000000"/>
              </w:rPr>
              <w:t xml:space="preserve"> adults from an urban and rural settings who are regular food shoppers in their </w:t>
            </w:r>
            <w:r w:rsidR="00081B51" w:rsidRPr="00D36AFD">
              <w:rPr>
                <w:rFonts w:ascii="Times New Roman" w:eastAsia="Times New Roman" w:hAnsi="Times New Roman" w:cs="Times New Roman"/>
                <w:color w:val="000000"/>
              </w:rPr>
              <w:lastRenderedPageBreak/>
              <w:t>households will be selected to represent the country’s main ethno-linguistic regions i.e. Nairobi</w:t>
            </w:r>
            <w:r w:rsidRPr="00D36AFD">
              <w:rPr>
                <w:rFonts w:ascii="Times New Roman" w:eastAsia="Times New Roman" w:hAnsi="Times New Roman" w:cs="Times New Roman"/>
                <w:color w:val="000000"/>
              </w:rPr>
              <w:t>(N=1251)</w:t>
            </w:r>
            <w:r w:rsidR="00081B51" w:rsidRPr="00D36AFD">
              <w:rPr>
                <w:rFonts w:ascii="Times New Roman" w:eastAsia="Times New Roman" w:hAnsi="Times New Roman" w:cs="Times New Roman"/>
                <w:color w:val="000000"/>
              </w:rPr>
              <w:t>, Mombasa</w:t>
            </w:r>
            <w:r w:rsidRPr="00D36AFD">
              <w:rPr>
                <w:rFonts w:ascii="Times New Roman" w:eastAsia="Times New Roman" w:hAnsi="Times New Roman" w:cs="Times New Roman"/>
                <w:color w:val="000000"/>
              </w:rPr>
              <w:t xml:space="preserve"> (N=374)</w:t>
            </w:r>
            <w:r w:rsidR="00081B51" w:rsidRPr="00D36AFD">
              <w:rPr>
                <w:rFonts w:ascii="Times New Roman" w:eastAsia="Times New Roman" w:hAnsi="Times New Roman" w:cs="Times New Roman"/>
              </w:rPr>
              <w:t>, Kisumu</w:t>
            </w:r>
            <w:r w:rsidRPr="00D36AFD">
              <w:rPr>
                <w:rFonts w:ascii="Times New Roman" w:eastAsia="Times New Roman" w:hAnsi="Times New Roman" w:cs="Times New Roman"/>
              </w:rPr>
              <w:t xml:space="preserve"> (N=388)</w:t>
            </w:r>
            <w:r w:rsidR="00F93108" w:rsidRPr="00D36AFD">
              <w:rPr>
                <w:rFonts w:ascii="Times New Roman" w:eastAsia="Times New Roman" w:hAnsi="Times New Roman" w:cs="Times New Roman"/>
              </w:rPr>
              <w:t>,</w:t>
            </w:r>
            <w:r w:rsidR="00081B51" w:rsidRPr="00D36AFD">
              <w:rPr>
                <w:rFonts w:ascii="Times New Roman" w:eastAsia="Times New Roman" w:hAnsi="Times New Roman" w:cs="Times New Roman"/>
              </w:rPr>
              <w:t xml:space="preserve"> and Garissa</w:t>
            </w:r>
            <w:r w:rsidRPr="00D36AFD">
              <w:rPr>
                <w:rFonts w:ascii="Times New Roman" w:eastAsia="Times New Roman" w:hAnsi="Times New Roman" w:cs="Times New Roman"/>
              </w:rPr>
              <w:t xml:space="preserve"> (N=172)</w:t>
            </w:r>
            <w:r w:rsidR="00081B51" w:rsidRPr="00D36AFD">
              <w:rPr>
                <w:rFonts w:ascii="Times New Roman" w:eastAsia="Times New Roman" w:hAnsi="Times New Roman" w:cs="Times New Roman"/>
                <w:color w:val="000000"/>
              </w:rPr>
              <w:t xml:space="preserve">. </w:t>
            </w:r>
            <w:r w:rsidR="0087663C" w:rsidRPr="00D36AFD">
              <w:rPr>
                <w:rFonts w:ascii="Times New Roman" w:eastAsia="Times New Roman" w:hAnsi="Times New Roman" w:cs="Times New Roman"/>
                <w:color w:val="000000"/>
              </w:rPr>
              <w:t xml:space="preserve"> The sample s</w:t>
            </w:r>
            <w:r w:rsidRPr="00D36AFD">
              <w:rPr>
                <w:rFonts w:ascii="Times New Roman" w:eastAsia="Times New Roman" w:hAnsi="Times New Roman" w:cs="Times New Roman"/>
                <w:color w:val="000000"/>
              </w:rPr>
              <w:t>izes are proportionate to the adult population in these Counties.</w:t>
            </w:r>
            <w:r w:rsidR="0087663C" w:rsidRPr="00D36AFD">
              <w:rPr>
                <w:rFonts w:ascii="Times New Roman" w:eastAsia="Times New Roman" w:hAnsi="Times New Roman" w:cs="Times New Roman"/>
                <w:color w:val="000000"/>
              </w:rPr>
              <w:t xml:space="preserve"> </w:t>
            </w:r>
            <w:r w:rsidR="00081B51" w:rsidRPr="00D36AFD">
              <w:rPr>
                <w:rFonts w:ascii="Times New Roman" w:eastAsia="Times New Roman" w:hAnsi="Times New Roman" w:cs="Times New Roman"/>
                <w:color w:val="000000"/>
              </w:rPr>
              <w:t>Therefore</w:t>
            </w:r>
            <w:r w:rsidR="00F93108" w:rsidRPr="00D36AFD">
              <w:rPr>
                <w:rFonts w:ascii="Times New Roman" w:eastAsia="Times New Roman" w:hAnsi="Times New Roman" w:cs="Times New Roman"/>
                <w:color w:val="000000"/>
              </w:rPr>
              <w:t xml:space="preserve">, </w:t>
            </w:r>
            <w:r w:rsidR="00F93108" w:rsidRPr="00D36AFD">
              <w:rPr>
                <w:rFonts w:ascii="Times New Roman" w:eastAsia="Times New Roman" w:hAnsi="Times New Roman" w:cs="Times New Roman"/>
              </w:rPr>
              <w:t>2185 adults (calculated under assumption of correct identification of unhealthy foods using warning labels in previous studies</w:t>
            </w:r>
            <w:r w:rsidR="00081B51" w:rsidRPr="00D36AFD">
              <w:rPr>
                <w:rFonts w:ascii="Times New Roman" w:eastAsia="Times New Roman" w:hAnsi="Times New Roman" w:cs="Times New Roman"/>
              </w:rPr>
              <w:t>) will be used to allocate participants proportionately to these regions. A sampling frame from KNBS enumeration areas will be used.</w:t>
            </w:r>
          </w:p>
        </w:tc>
      </w:tr>
      <w:tr w:rsidR="00940635" w:rsidRPr="00D36AFD" w14:paraId="0F96D0AA" w14:textId="77777777">
        <w:trPr>
          <w:trHeight w:val="282"/>
        </w:trPr>
        <w:tc>
          <w:tcPr>
            <w:tcW w:w="384" w:type="dxa"/>
          </w:tcPr>
          <w:p w14:paraId="026E1DA9"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lastRenderedPageBreak/>
              <w:t>4.</w:t>
            </w:r>
          </w:p>
        </w:tc>
        <w:tc>
          <w:tcPr>
            <w:tcW w:w="4203" w:type="dxa"/>
          </w:tcPr>
          <w:p w14:paraId="55749D6E" w14:textId="77777777" w:rsidR="00940635" w:rsidRPr="00D36AFD" w:rsidRDefault="00081B51">
            <w:pPr>
              <w:pBdr>
                <w:top w:val="nil"/>
                <w:left w:val="nil"/>
                <w:bottom w:val="nil"/>
                <w:right w:val="nil"/>
                <w:between w:val="nil"/>
              </w:pBdr>
              <w:spacing w:line="276"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xml:space="preserve">Review the legal system and law-making processes to locate feasible policy options and human right approaches to push for stronger accountability by the </w:t>
            </w:r>
            <w:proofErr w:type="gramStart"/>
            <w:r w:rsidRPr="00D36AFD">
              <w:rPr>
                <w:rFonts w:ascii="Times New Roman" w:eastAsia="Times New Roman" w:hAnsi="Times New Roman" w:cs="Times New Roman"/>
                <w:color w:val="000000"/>
              </w:rPr>
              <w:t>government</w:t>
            </w:r>
            <w:proofErr w:type="gramEnd"/>
          </w:p>
          <w:p w14:paraId="75C87846" w14:textId="77777777" w:rsidR="00940635" w:rsidRPr="00D36AFD" w:rsidRDefault="00940635">
            <w:pPr>
              <w:spacing w:line="276" w:lineRule="auto"/>
              <w:rPr>
                <w:rFonts w:ascii="Times New Roman" w:eastAsia="Times New Roman" w:hAnsi="Times New Roman" w:cs="Times New Roman"/>
              </w:rPr>
            </w:pPr>
          </w:p>
        </w:tc>
        <w:tc>
          <w:tcPr>
            <w:tcW w:w="3088" w:type="dxa"/>
          </w:tcPr>
          <w:p w14:paraId="26BB1B2E"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t>KIIs with policy makers to identify legal barriers to policy development.</w:t>
            </w:r>
          </w:p>
        </w:tc>
        <w:tc>
          <w:tcPr>
            <w:tcW w:w="2526" w:type="dxa"/>
          </w:tcPr>
          <w:p w14:paraId="730E7007"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t>Policy makers based in Nairobi involved in policy-bundle review process will be purposively sampled for interviews.</w:t>
            </w:r>
          </w:p>
        </w:tc>
        <w:tc>
          <w:tcPr>
            <w:tcW w:w="3544" w:type="dxa"/>
          </w:tcPr>
          <w:p w14:paraId="0BEC9EDA" w14:textId="77777777" w:rsidR="00940635" w:rsidRPr="00D36AFD" w:rsidRDefault="00921359">
            <w:pPr>
              <w:spacing w:line="276" w:lineRule="auto"/>
              <w:rPr>
                <w:rFonts w:ascii="Times New Roman" w:eastAsia="Times New Roman" w:hAnsi="Times New Roman" w:cs="Times New Roman"/>
              </w:rPr>
            </w:pPr>
            <w:r w:rsidRPr="00D36AFD">
              <w:rPr>
                <w:rFonts w:ascii="Times New Roman" w:eastAsia="Times New Roman" w:hAnsi="Times New Roman" w:cs="Times New Roman"/>
              </w:rPr>
              <w:t>Policymakers</w:t>
            </w:r>
            <w:r w:rsidR="00081B51" w:rsidRPr="00D36AFD">
              <w:rPr>
                <w:rFonts w:ascii="Times New Roman" w:eastAsia="Times New Roman" w:hAnsi="Times New Roman" w:cs="Times New Roman"/>
              </w:rPr>
              <w:t xml:space="preserve"> drawn from the pool of reviewers working on the policy-bundle. Sample size will b</w:t>
            </w:r>
            <w:r w:rsidRPr="00D36AFD">
              <w:rPr>
                <w:rFonts w:ascii="Times New Roman" w:eastAsia="Times New Roman" w:hAnsi="Times New Roman" w:cs="Times New Roman"/>
              </w:rPr>
              <w:t>e determined by data saturation.</w:t>
            </w:r>
          </w:p>
        </w:tc>
      </w:tr>
      <w:tr w:rsidR="00940635" w:rsidRPr="00D36AFD" w14:paraId="5BAC15C1" w14:textId="77777777">
        <w:trPr>
          <w:trHeight w:val="282"/>
        </w:trPr>
        <w:tc>
          <w:tcPr>
            <w:tcW w:w="384" w:type="dxa"/>
          </w:tcPr>
          <w:p w14:paraId="27CFB777"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t>6.</w:t>
            </w:r>
          </w:p>
        </w:tc>
        <w:tc>
          <w:tcPr>
            <w:tcW w:w="4203" w:type="dxa"/>
          </w:tcPr>
          <w:p w14:paraId="66BE226D"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color w:val="000000"/>
              </w:rPr>
              <w:t>Facilitate understanding of pathways for effective policy adoption, implementation, and monitoring of outcomes for changing consumer food environments.</w:t>
            </w:r>
          </w:p>
        </w:tc>
        <w:tc>
          <w:tcPr>
            <w:tcW w:w="3088" w:type="dxa"/>
          </w:tcPr>
          <w:p w14:paraId="273B9367"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t xml:space="preserve">Systems dynamics group modelling </w:t>
            </w:r>
            <w:r w:rsidRPr="00D36AFD">
              <w:rPr>
                <w:rFonts w:ascii="Times New Roman" w:eastAsia="Times New Roman" w:hAnsi="Times New Roman" w:cs="Times New Roman"/>
                <w:color w:val="000000"/>
              </w:rPr>
              <w:t>approach will be used to gain insights into the connections between variables influencing food-related policymaking in the selected policy bundle.</w:t>
            </w:r>
          </w:p>
        </w:tc>
        <w:tc>
          <w:tcPr>
            <w:tcW w:w="2526" w:type="dxa"/>
          </w:tcPr>
          <w:p w14:paraId="3392AE29"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t xml:space="preserve">All members of the Technical Committees for the policy bundle involved in the policy review and development process will be </w:t>
            </w:r>
            <w:r w:rsidRPr="00D36AFD">
              <w:rPr>
                <w:rFonts w:ascii="Times New Roman" w:eastAsia="Times New Roman" w:hAnsi="Times New Roman" w:cs="Times New Roman"/>
              </w:rPr>
              <w:lastRenderedPageBreak/>
              <w:t>interviewed in focused groups.</w:t>
            </w:r>
          </w:p>
        </w:tc>
        <w:tc>
          <w:tcPr>
            <w:tcW w:w="3544" w:type="dxa"/>
          </w:tcPr>
          <w:p w14:paraId="1D302946" w14:textId="77777777" w:rsidR="00940635" w:rsidRPr="00D36AFD" w:rsidRDefault="00081B51">
            <w:pPr>
              <w:spacing w:line="276" w:lineRule="auto"/>
              <w:rPr>
                <w:rFonts w:ascii="Times New Roman" w:eastAsia="Times New Roman" w:hAnsi="Times New Roman" w:cs="Times New Roman"/>
              </w:rPr>
            </w:pPr>
            <w:r w:rsidRPr="00D36AFD">
              <w:rPr>
                <w:rFonts w:ascii="Times New Roman" w:eastAsia="Times New Roman" w:hAnsi="Times New Roman" w:cs="Times New Roman"/>
              </w:rPr>
              <w:lastRenderedPageBreak/>
              <w:t xml:space="preserve">Technical Committee members drawn from each of the </w:t>
            </w:r>
            <w:proofErr w:type="gramStart"/>
            <w:r w:rsidRPr="00D36AFD">
              <w:rPr>
                <w:rFonts w:ascii="Times New Roman" w:eastAsia="Times New Roman" w:hAnsi="Times New Roman" w:cs="Times New Roman"/>
              </w:rPr>
              <w:t>4 policy</w:t>
            </w:r>
            <w:proofErr w:type="gramEnd"/>
            <w:r w:rsidRPr="00D36AFD">
              <w:rPr>
                <w:rFonts w:ascii="Times New Roman" w:eastAsia="Times New Roman" w:hAnsi="Times New Roman" w:cs="Times New Roman"/>
              </w:rPr>
              <w:t xml:space="preserve"> review and development groups will be interviewed.</w:t>
            </w:r>
          </w:p>
        </w:tc>
      </w:tr>
    </w:tbl>
    <w:p w14:paraId="73CB7735" w14:textId="77777777" w:rsidR="00940635" w:rsidRPr="00D36AFD" w:rsidRDefault="00940635"/>
    <w:p w14:paraId="5FA9343F" w14:textId="77777777" w:rsidR="00940635" w:rsidRPr="00D36AFD" w:rsidRDefault="00081B51">
      <w:pPr>
        <w:rPr>
          <w:rFonts w:ascii="Times New Roman" w:eastAsia="Times New Roman" w:hAnsi="Times New Roman" w:cs="Times New Roman"/>
          <w:i/>
          <w:color w:val="000000"/>
          <w:sz w:val="24"/>
          <w:szCs w:val="24"/>
          <w:u w:val="single"/>
        </w:rPr>
        <w:sectPr w:rsidR="00940635" w:rsidRPr="00D36AFD" w:rsidSect="00401414">
          <w:pgSz w:w="16838" w:h="11906" w:orient="landscape"/>
          <w:pgMar w:top="1440" w:right="1440" w:bottom="1440" w:left="1440" w:header="708" w:footer="708" w:gutter="0"/>
          <w:cols w:space="720"/>
        </w:sectPr>
      </w:pPr>
      <w:r w:rsidRPr="00D36AFD">
        <w:br w:type="page"/>
      </w:r>
    </w:p>
    <w:p w14:paraId="794648CC" w14:textId="77777777" w:rsidR="00940635" w:rsidRPr="00D36AFD" w:rsidRDefault="00081B51">
      <w:pPr>
        <w:spacing w:line="360" w:lineRule="auto"/>
        <w:jc w:val="both"/>
        <w:rPr>
          <w:rFonts w:ascii="Times New Roman" w:eastAsia="Times New Roman" w:hAnsi="Times New Roman" w:cs="Times New Roman"/>
          <w:i/>
          <w:color w:val="000000"/>
          <w:sz w:val="24"/>
          <w:szCs w:val="24"/>
          <w:u w:val="single"/>
        </w:rPr>
      </w:pPr>
      <w:r w:rsidRPr="00D36AFD">
        <w:rPr>
          <w:rFonts w:ascii="Times New Roman" w:eastAsia="Times New Roman" w:hAnsi="Times New Roman" w:cs="Times New Roman"/>
          <w:i/>
          <w:color w:val="000000"/>
          <w:sz w:val="24"/>
          <w:szCs w:val="24"/>
          <w:u w:val="single"/>
        </w:rPr>
        <w:lastRenderedPageBreak/>
        <w:t>1-Validation of the Nutrient Profile Model and evaluation of the effect of a front-of-pack nutrition labelling for Kenya</w:t>
      </w:r>
    </w:p>
    <w:p w14:paraId="1863BA3D"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Here, the focus will be on testing a nutrient profile model (NPM) for Kenya that is needed to provide guidance on the development of the four policies proposed. Nutrient profiling is the science of classifying or ranking foods according to their nutritional composition for reasons related to preventing disease and promoting health. Since 2019, a multi-stakeholder team of experts has embarked on developing a Kenya NPM</w:t>
      </w:r>
      <w:r w:rsidRPr="00D36AFD">
        <w:rPr>
          <w:rFonts w:ascii="Times New Roman" w:eastAsia="Times New Roman" w:hAnsi="Times New Roman" w:cs="Times New Roman"/>
          <w:color w:val="000000"/>
          <w:sz w:val="24"/>
          <w:szCs w:val="24"/>
          <w:vertAlign w:val="superscript"/>
        </w:rPr>
        <w:t>36</w:t>
      </w:r>
      <w:r w:rsidRPr="00D36AFD">
        <w:rPr>
          <w:rFonts w:ascii="Times New Roman" w:eastAsia="Times New Roman" w:hAnsi="Times New Roman" w:cs="Times New Roman"/>
          <w:color w:val="000000"/>
          <w:sz w:val="24"/>
          <w:szCs w:val="24"/>
        </w:rPr>
        <w:t xml:space="preserve"> using the general principles for developing NPM provided by WHO.</w:t>
      </w:r>
    </w:p>
    <w:p w14:paraId="44EC8103"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We shall compare the NPM against expert judgements of a similar list of foods using a given criteria.</w:t>
      </w:r>
      <w:r w:rsidRPr="00D36AFD">
        <w:rPr>
          <w:rFonts w:ascii="Times New Roman" w:eastAsia="Times New Roman" w:hAnsi="Times New Roman" w:cs="Times New Roman"/>
          <w:color w:val="000000"/>
          <w:sz w:val="24"/>
          <w:szCs w:val="24"/>
          <w:vertAlign w:val="superscript"/>
        </w:rPr>
        <w:t>37</w:t>
      </w:r>
      <w:r w:rsidRPr="00D36AFD">
        <w:rPr>
          <w:rFonts w:ascii="Times New Roman" w:eastAsia="Times New Roman" w:hAnsi="Times New Roman" w:cs="Times New Roman"/>
          <w:color w:val="000000"/>
          <w:sz w:val="24"/>
          <w:szCs w:val="24"/>
        </w:rPr>
        <w:t xml:space="preserve">. </w:t>
      </w:r>
      <w:proofErr w:type="gramStart"/>
      <w:r w:rsidRPr="00D36AFD">
        <w:rPr>
          <w:rFonts w:ascii="Times New Roman" w:eastAsia="Times New Roman" w:hAnsi="Times New Roman" w:cs="Times New Roman"/>
          <w:color w:val="000000"/>
          <w:sz w:val="24"/>
          <w:szCs w:val="24"/>
        </w:rPr>
        <w:t>An</w:t>
      </w:r>
      <w:proofErr w:type="gramEnd"/>
      <w:r w:rsidRPr="00D36AFD">
        <w:rPr>
          <w:rFonts w:ascii="Times New Roman" w:eastAsia="Times New Roman" w:hAnsi="Times New Roman" w:cs="Times New Roman"/>
          <w:color w:val="000000"/>
          <w:sz w:val="24"/>
          <w:szCs w:val="24"/>
        </w:rPr>
        <w:t xml:space="preserve"> structured questionnaire will be used to assess nutrition professionals' perception of the relative healthiness of individual foods. They will rank 40 foods, randomly selected from a master list of 120 foods, in one of the six positions labelled from one end as ‘less healthy’ to ‘</w:t>
      </w:r>
      <w:proofErr w:type="gramStart"/>
      <w:r w:rsidRPr="00D36AFD">
        <w:rPr>
          <w:rFonts w:ascii="Times New Roman" w:eastAsia="Times New Roman" w:hAnsi="Times New Roman" w:cs="Times New Roman"/>
          <w:color w:val="000000"/>
          <w:sz w:val="24"/>
          <w:szCs w:val="24"/>
        </w:rPr>
        <w:t>more healthy</w:t>
      </w:r>
      <w:proofErr w:type="gramEnd"/>
      <w:r w:rsidRPr="00D36AFD">
        <w:rPr>
          <w:rFonts w:ascii="Times New Roman" w:eastAsia="Times New Roman" w:hAnsi="Times New Roman" w:cs="Times New Roman"/>
          <w:color w:val="000000"/>
          <w:sz w:val="24"/>
          <w:szCs w:val="24"/>
        </w:rPr>
        <w:t>’. To assist with categorisation, the energy (kcal), protein, carbohydrate, total sugar, fat, saturated fat, fibre, sodium, calcium, and iron contents per 100 g of the foods will be provided. The questionnaire will be administered by sending a password-protected link to nutrition experts in Kenya. The foods from the questionnaire will be ranked according to the average score awarded by the nutrition professionals with the least healthy position with a score of 1 and the healthiest position with a score of 6. We will ensure construct validity by evaluating the same foods using the NPM via a data analysis code based on the nutrient thresholds set by the NPM and testing the relationship between the NPM ranks and the ranking provided by the nutritionists</w:t>
      </w:r>
      <w:r w:rsidRPr="00D36AFD">
        <w:rPr>
          <w:rFonts w:ascii="Times New Roman" w:eastAsia="Times New Roman" w:hAnsi="Times New Roman" w:cs="Times New Roman"/>
          <w:color w:val="000000"/>
          <w:sz w:val="24"/>
          <w:szCs w:val="24"/>
          <w:vertAlign w:val="superscript"/>
        </w:rPr>
        <w:t>38</w:t>
      </w:r>
      <w:r w:rsidRPr="00D36AFD">
        <w:rPr>
          <w:rFonts w:ascii="Times New Roman" w:eastAsia="Times New Roman" w:hAnsi="Times New Roman" w:cs="Times New Roman"/>
          <w:color w:val="000000"/>
          <w:sz w:val="24"/>
          <w:szCs w:val="24"/>
        </w:rPr>
        <w:t>.</w:t>
      </w:r>
    </w:p>
    <w:p w14:paraId="401E3B8A" w14:textId="77777777" w:rsidR="00940635" w:rsidRPr="00D36AFD" w:rsidRDefault="00081B51">
      <w:pPr>
        <w:spacing w:line="360" w:lineRule="auto"/>
        <w:jc w:val="both"/>
        <w:rPr>
          <w:rFonts w:ascii="Times New Roman" w:eastAsia="Times New Roman" w:hAnsi="Times New Roman" w:cs="Times New Roman"/>
          <w:color w:val="000000"/>
          <w:sz w:val="24"/>
          <w:szCs w:val="24"/>
        </w:rPr>
      </w:pPr>
      <w:proofErr w:type="gramStart"/>
      <w:r w:rsidRPr="00D36AFD">
        <w:rPr>
          <w:rFonts w:ascii="Times New Roman" w:eastAsia="Times New Roman" w:hAnsi="Times New Roman" w:cs="Times New Roman"/>
          <w:color w:val="000000"/>
          <w:sz w:val="24"/>
          <w:szCs w:val="24"/>
        </w:rPr>
        <w:t>In order to</w:t>
      </w:r>
      <w:proofErr w:type="gramEnd"/>
      <w:r w:rsidRPr="00D36AFD">
        <w:rPr>
          <w:rFonts w:ascii="Times New Roman" w:eastAsia="Times New Roman" w:hAnsi="Times New Roman" w:cs="Times New Roman"/>
          <w:color w:val="000000"/>
          <w:sz w:val="24"/>
          <w:szCs w:val="24"/>
        </w:rPr>
        <w:t xml:space="preserve"> test the Kenya NPM, against the results of the questionnaire, a compositional database will be constructed for the 120 foods in the questionnaire. The foods will be rated as healthy or unhealthy using the Kenya NPM.  Chi-square test scores will be calculated using a cross-tabulation of data, and this will be compared with the quintiles of the scores of nutrition professionals. Tests of the level of agreement between the judgments of the nutrition professionals and Kenya NPM and the distribution of the 120 foods between ‘healthier’ and ‘less healthy’ categories – as categorized by both nutrition professionals and nutrient profile model – will be done. A high level of agreement with nutritional professionals' ranking would validate the Kenya NPM as a good model.</w:t>
      </w:r>
    </w:p>
    <w:p w14:paraId="62DEE2BD" w14:textId="77777777" w:rsidR="00940635" w:rsidRPr="00D36AFD" w:rsidRDefault="00940635">
      <w:pPr>
        <w:spacing w:line="360" w:lineRule="auto"/>
        <w:jc w:val="both"/>
        <w:rPr>
          <w:rFonts w:ascii="Times New Roman" w:eastAsia="Times New Roman" w:hAnsi="Times New Roman" w:cs="Times New Roman"/>
          <w:color w:val="000000"/>
          <w:sz w:val="24"/>
          <w:szCs w:val="24"/>
        </w:rPr>
      </w:pPr>
    </w:p>
    <w:p w14:paraId="1BAD630D" w14:textId="77777777" w:rsidR="00940635" w:rsidRPr="00D36AFD" w:rsidRDefault="00081B51">
      <w:pPr>
        <w:spacing w:line="360" w:lineRule="auto"/>
        <w:jc w:val="both"/>
        <w:rPr>
          <w:rFonts w:ascii="Times New Roman" w:eastAsia="Times New Roman" w:hAnsi="Times New Roman" w:cs="Times New Roman"/>
          <w:i/>
          <w:color w:val="000000"/>
          <w:sz w:val="24"/>
          <w:szCs w:val="24"/>
        </w:rPr>
      </w:pPr>
      <w:r w:rsidRPr="00D36AFD">
        <w:rPr>
          <w:rFonts w:ascii="Times New Roman" w:eastAsia="Times New Roman" w:hAnsi="Times New Roman" w:cs="Times New Roman"/>
          <w:i/>
          <w:color w:val="000000"/>
          <w:sz w:val="24"/>
          <w:szCs w:val="24"/>
        </w:rPr>
        <w:t>2- Front of pack label consumer perceptions and effectiveness in influencing consumer choice</w:t>
      </w:r>
    </w:p>
    <w:p w14:paraId="65BD9CE6"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lastRenderedPageBreak/>
        <w:t>The Kenya Foods, Drug and Chemical Substances Act (Cap 254) has provisions on labelling standards, however with no mention on front -of-pack</w:t>
      </w:r>
      <w:r w:rsidRPr="00D36AFD">
        <w:t xml:space="preserve"> </w:t>
      </w:r>
      <w:r w:rsidRPr="00D36AFD">
        <w:rPr>
          <w:rFonts w:ascii="Times New Roman" w:eastAsia="Times New Roman" w:hAnsi="Times New Roman" w:cs="Times New Roman"/>
          <w:color w:val="000000"/>
          <w:sz w:val="24"/>
          <w:szCs w:val="24"/>
        </w:rPr>
        <w:t>labelling</w:t>
      </w:r>
      <w:r w:rsidRPr="00D36AFD">
        <w:rPr>
          <w:rFonts w:ascii="Times New Roman" w:eastAsia="Times New Roman" w:hAnsi="Times New Roman" w:cs="Times New Roman"/>
          <w:color w:val="000000"/>
          <w:sz w:val="24"/>
          <w:szCs w:val="24"/>
          <w:vertAlign w:val="superscript"/>
        </w:rPr>
        <w:t>3</w:t>
      </w:r>
      <w:r w:rsidRPr="00D36AFD">
        <w:rPr>
          <w:rFonts w:ascii="Times New Roman" w:eastAsia="Times New Roman" w:hAnsi="Times New Roman" w:cs="Times New Roman"/>
          <w:color w:val="000000"/>
          <w:sz w:val="24"/>
          <w:szCs w:val="24"/>
        </w:rPr>
        <w:t>. Through the Global RECAP programme, the Ministry of Health has developed a front-of-</w:t>
      </w:r>
      <w:r w:rsidRPr="00D36AFD">
        <w:rPr>
          <w:rFonts w:ascii="Times New Roman" w:eastAsia="Times New Roman" w:hAnsi="Times New Roman" w:cs="Times New Roman"/>
        </w:rPr>
        <w:t>pack</w:t>
      </w:r>
      <w:r w:rsidRPr="00D36AFD">
        <w:rPr>
          <w:rFonts w:ascii="Times New Roman" w:eastAsia="Times New Roman" w:hAnsi="Times New Roman" w:cs="Times New Roman"/>
          <w:color w:val="000000"/>
          <w:sz w:val="24"/>
          <w:szCs w:val="24"/>
        </w:rPr>
        <w:t xml:space="preserve"> labelling standard. We shall test the consumer perceptions of the proposed FoPL symbol and the effectiveness of the symbol in influencing consumer choice for healthier food options as described below.</w:t>
      </w:r>
    </w:p>
    <w:p w14:paraId="3638FFB8" w14:textId="77777777" w:rsidR="00940635" w:rsidRPr="00D36AFD" w:rsidRDefault="00081B51">
      <w:pPr>
        <w:spacing w:line="360" w:lineRule="auto"/>
        <w:jc w:val="both"/>
        <w:rPr>
          <w:rFonts w:ascii="Times New Roman" w:eastAsia="Times New Roman" w:hAnsi="Times New Roman" w:cs="Times New Roman"/>
          <w:i/>
          <w:color w:val="000000"/>
          <w:sz w:val="24"/>
          <w:szCs w:val="24"/>
        </w:rPr>
      </w:pPr>
      <w:r w:rsidRPr="00D36AFD">
        <w:rPr>
          <w:rFonts w:ascii="Times New Roman" w:eastAsia="Times New Roman" w:hAnsi="Times New Roman" w:cs="Times New Roman"/>
          <w:i/>
          <w:color w:val="000000"/>
          <w:sz w:val="24"/>
          <w:szCs w:val="24"/>
        </w:rPr>
        <w:t>2.1</w:t>
      </w:r>
      <w:r w:rsidRPr="00D36AFD">
        <w:rPr>
          <w:rFonts w:ascii="Times New Roman" w:eastAsia="Times New Roman" w:hAnsi="Times New Roman" w:cs="Times New Roman"/>
          <w:i/>
          <w:color w:val="000000"/>
          <w:sz w:val="24"/>
          <w:szCs w:val="24"/>
        </w:rPr>
        <w:tab/>
        <w:t>Assess how consumers understand and use a range of proposed symbols.</w:t>
      </w:r>
    </w:p>
    <w:p w14:paraId="43B6F95B" w14:textId="77777777" w:rsidR="00940635" w:rsidRPr="00D36AFD" w:rsidRDefault="00081B51">
      <w:pPr>
        <w:spacing w:line="360" w:lineRule="auto"/>
        <w:jc w:val="both"/>
        <w:rPr>
          <w:rFonts w:ascii="Times New Roman" w:eastAsia="Times New Roman" w:hAnsi="Times New Roman" w:cs="Times New Roman"/>
          <w:color w:val="000000"/>
          <w:sz w:val="24"/>
          <w:szCs w:val="24"/>
        </w:rPr>
      </w:pPr>
      <w:bookmarkStart w:id="13" w:name="_heading=h.2p2csry" w:colFirst="0" w:colLast="0"/>
      <w:bookmarkEnd w:id="13"/>
      <w:r w:rsidRPr="00D36AFD">
        <w:rPr>
          <w:rFonts w:ascii="Times New Roman" w:eastAsia="Times New Roman" w:hAnsi="Times New Roman" w:cs="Times New Roman"/>
          <w:color w:val="000000"/>
          <w:sz w:val="24"/>
          <w:szCs w:val="24"/>
        </w:rPr>
        <w:t xml:space="preserve">A total of 12 focus groups of 8 to 10 members each, will be conducted. Adults primarily responsible for household food purchases will be purposefully selected using quotas stratified according to gender (male or female), age (18–29 years or 30–50 years), literacy (no literacy, low literacy), income (low or middle-high), urban (rural), and geographic location (Western Kenya, Rift Valley or Central, Coastal and Eastern). The focus groups will be homogenous with each group consisting of participants with similar sociodemographic characteristics.  </w:t>
      </w:r>
    </w:p>
    <w:p w14:paraId="5D88E4C9"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Warning label prototypes for testing on Kenyan consumers will be selected based on literature and proposals by the Kenya Ministry of Health task force for FoPL policy development.  A designer will be briefed to create effective labels using shapes, text and icons that would increase Kenyan consumer’s identification of the presence of unhealthy nutrients in foods and encourage healthy choices. The intent is to ensure that the labels would be effective across diverse sociodemographic groups in Kenya. A committee comprised of experts in nutrition, health, health promotion, economics, communication, and media systematically will rate each Kenyan symbol design to narrow down the range of options. Based on recommendations by the expert committee, we will select three top options to test. </w:t>
      </w:r>
    </w:p>
    <w:p w14:paraId="67BDCCDB"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A trained moderator (with an assistant) from APHRC will lead the focus group discussion using guide or moderator guide prepared by the research team to collect data.  All the interviews will be conducted by one moderator who is appointed as a researcher at the time of data collection. The moderator should have extensive experience in qualitative data collection and data analysis The FoPL symbol will be projected on screens and each focus group discussion is recorded with an audio-video recorder. A graphic designer will superimpose the various label prototypes onto real packages of crisps, cereal boxes, yogurt containers, and fruit juice bottles available on the market. Labels will be placed on each package according to the excessive nutrients in those products. For example, if a product contains excessive salt and saturated fats, we placed two labels, one for salt and another for saturated fats, on the package. The research team will select the product that would carry the highest number of nutrient labels (sugar, </w:t>
      </w:r>
      <w:proofErr w:type="gramStart"/>
      <w:r w:rsidRPr="00D36AFD">
        <w:rPr>
          <w:rFonts w:ascii="Times New Roman" w:eastAsia="Times New Roman" w:hAnsi="Times New Roman" w:cs="Times New Roman"/>
          <w:color w:val="000000"/>
          <w:sz w:val="24"/>
          <w:szCs w:val="24"/>
        </w:rPr>
        <w:t>salt</w:t>
      </w:r>
      <w:proofErr w:type="gramEnd"/>
      <w:r w:rsidRPr="00D36AFD">
        <w:rPr>
          <w:rFonts w:ascii="Times New Roman" w:eastAsia="Times New Roman" w:hAnsi="Times New Roman" w:cs="Times New Roman"/>
          <w:color w:val="000000"/>
          <w:sz w:val="24"/>
          <w:szCs w:val="24"/>
        </w:rPr>
        <w:t xml:space="preserve"> and </w:t>
      </w:r>
      <w:r w:rsidRPr="00D36AFD">
        <w:rPr>
          <w:rFonts w:ascii="Times New Roman" w:eastAsia="Times New Roman" w:hAnsi="Times New Roman" w:cs="Times New Roman"/>
          <w:color w:val="000000"/>
          <w:sz w:val="24"/>
          <w:szCs w:val="24"/>
        </w:rPr>
        <w:lastRenderedPageBreak/>
        <w:t xml:space="preserve">saturated fat) from the five top-selling brands in each category. The focus group discussion guide will be developed based on instruments used in other countries. The guide has two sections based on the objectives of the study. </w:t>
      </w:r>
    </w:p>
    <w:p w14:paraId="7768E597"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During the first section the moderator projects an image of four products, crisps, cereals, yogurts, and juices bearing the label, on the screen for all participants to view and lead the group discussion. The questions explored included the participants’ understanding of the label, the label’s perceived effect on purchasing habits, the label’s visibility, and the label’s credibility.</w:t>
      </w:r>
    </w:p>
    <w:p w14:paraId="0E3CD19D"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During the second section of the focus group discussions, the moderator projected alternatives to the original label on the screen. Participants selected the label format that was perceived as (1) attention grabbing, (2) effective as a warning against unhealthy foods and drinks, and (3) likely to influence their purchasing behaviours.</w:t>
      </w:r>
    </w:p>
    <w:p w14:paraId="4E421BF9" w14:textId="77777777" w:rsidR="00940635" w:rsidRPr="00D36AFD" w:rsidRDefault="00081B51">
      <w:pPr>
        <w:spacing w:line="360" w:lineRule="auto"/>
        <w:jc w:val="both"/>
        <w:rPr>
          <w:rFonts w:ascii="Times New Roman" w:eastAsia="Times New Roman" w:hAnsi="Times New Roman" w:cs="Times New Roman"/>
          <w:sz w:val="24"/>
          <w:szCs w:val="24"/>
        </w:rPr>
      </w:pPr>
      <w:r w:rsidRPr="00D36AFD">
        <w:rPr>
          <w:rFonts w:ascii="Times New Roman" w:eastAsia="Times New Roman" w:hAnsi="Times New Roman" w:cs="Times New Roman"/>
          <w:color w:val="000000"/>
          <w:sz w:val="24"/>
          <w:szCs w:val="24"/>
        </w:rPr>
        <w:t xml:space="preserve">Data analysis: A data-driven inductive thematic analysis approach will be used to analyse the data. With this approach, one member of the research team and an experienced independent qualitative researcher will identify emerging codes directly from participants’ responses and develop themes. These two researchers will read and reread the transcripts to become familiar with the data and separately code the data. The two coders will compare their codes and agree on the codes and themes that best represented participants’ responses. To ensure credibility, the research team will observe the focus group discussion online and hold debriefing sessions with the moderator after data collection. The coders will follow the same process of independent reading the transcripts, developing codes, and organizing data into themes based on the participants’ responses. The same procedure will be followed with all focus groups.  To accommodate participants’ language preferences, the researchers will translate the focus group guide and questionnaires, and the moderator will facilitate the discussions in either English, or Swahili. </w:t>
      </w:r>
      <w:r w:rsidRPr="00D36AFD">
        <w:rPr>
          <w:rFonts w:ascii="Times New Roman" w:eastAsia="Times New Roman" w:hAnsi="Times New Roman" w:cs="Times New Roman"/>
          <w:sz w:val="24"/>
          <w:szCs w:val="24"/>
        </w:rPr>
        <w:t xml:space="preserve">All qualitative data will be translated, transcribed verbatim and then coded and analyzed using NVIVO. </w:t>
      </w:r>
    </w:p>
    <w:p w14:paraId="5937F22D" w14:textId="77777777" w:rsidR="00940635" w:rsidRPr="00D36AFD" w:rsidRDefault="00940635">
      <w:pPr>
        <w:spacing w:line="360" w:lineRule="auto"/>
        <w:jc w:val="both"/>
        <w:rPr>
          <w:rFonts w:ascii="Times New Roman" w:eastAsia="Times New Roman" w:hAnsi="Times New Roman" w:cs="Times New Roman"/>
          <w:color w:val="000000"/>
          <w:sz w:val="24"/>
          <w:szCs w:val="24"/>
        </w:rPr>
      </w:pPr>
    </w:p>
    <w:p w14:paraId="52529691" w14:textId="77777777" w:rsidR="00940635" w:rsidRPr="00D36AFD" w:rsidRDefault="00081B51">
      <w:pPr>
        <w:spacing w:line="360" w:lineRule="auto"/>
        <w:jc w:val="both"/>
        <w:rPr>
          <w:rFonts w:ascii="Times New Roman" w:eastAsia="Times New Roman" w:hAnsi="Times New Roman" w:cs="Times New Roman"/>
          <w:i/>
          <w:color w:val="000000"/>
          <w:sz w:val="24"/>
          <w:szCs w:val="24"/>
          <w:u w:val="single"/>
        </w:rPr>
      </w:pPr>
      <w:bookmarkStart w:id="14" w:name="_heading=h.147n2zr" w:colFirst="0" w:colLast="0"/>
      <w:bookmarkEnd w:id="14"/>
      <w:r w:rsidRPr="00D36AFD">
        <w:rPr>
          <w:rFonts w:ascii="Times New Roman" w:eastAsia="Times New Roman" w:hAnsi="Times New Roman" w:cs="Times New Roman"/>
          <w:color w:val="000000"/>
          <w:sz w:val="24"/>
          <w:szCs w:val="24"/>
        </w:rPr>
        <w:t>2.2</w:t>
      </w:r>
      <w:r w:rsidRPr="00D36AFD">
        <w:rPr>
          <w:rFonts w:ascii="Times New Roman" w:eastAsia="Times New Roman" w:hAnsi="Times New Roman" w:cs="Times New Roman"/>
          <w:color w:val="000000"/>
          <w:sz w:val="24"/>
          <w:szCs w:val="24"/>
        </w:rPr>
        <w:tab/>
      </w:r>
      <w:r w:rsidRPr="00D36AFD">
        <w:rPr>
          <w:rFonts w:ascii="Times New Roman" w:eastAsia="Times New Roman" w:hAnsi="Times New Roman" w:cs="Times New Roman"/>
          <w:i/>
          <w:color w:val="000000"/>
          <w:sz w:val="24"/>
          <w:szCs w:val="24"/>
          <w:u w:val="single"/>
        </w:rPr>
        <w:t>Assess effectiveness of proposed FoPL options to steer consumers away from unhealthy food options (aversion) and/or steer them towards healthier options (attraction)</w:t>
      </w:r>
    </w:p>
    <w:p w14:paraId="456719EF" w14:textId="27BFB20B"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Consistent with the methodology employed in previous international FoPL studies</w:t>
      </w:r>
      <w:r w:rsidRPr="00D36AFD">
        <w:rPr>
          <w:rFonts w:ascii="Times New Roman" w:eastAsia="Times New Roman" w:hAnsi="Times New Roman" w:cs="Times New Roman"/>
          <w:color w:val="000000"/>
          <w:sz w:val="24"/>
          <w:szCs w:val="24"/>
          <w:vertAlign w:val="superscript"/>
        </w:rPr>
        <w:t>10,11</w:t>
      </w:r>
      <w:r w:rsidRPr="00D36AFD">
        <w:rPr>
          <w:rFonts w:ascii="Times New Roman" w:eastAsia="Times New Roman" w:hAnsi="Times New Roman" w:cs="Times New Roman"/>
          <w:color w:val="000000"/>
          <w:sz w:val="24"/>
          <w:szCs w:val="24"/>
        </w:rPr>
        <w:t xml:space="preserve">, </w:t>
      </w:r>
      <w:proofErr w:type="gramStart"/>
      <w:r w:rsidRPr="00D36AFD">
        <w:rPr>
          <w:rFonts w:ascii="Times New Roman" w:eastAsia="Times New Roman" w:hAnsi="Times New Roman" w:cs="Times New Roman"/>
          <w:color w:val="000000"/>
          <w:sz w:val="24"/>
          <w:szCs w:val="24"/>
        </w:rPr>
        <w:t>a  survey</w:t>
      </w:r>
      <w:proofErr w:type="gramEnd"/>
      <w:r w:rsidRPr="00D36AFD">
        <w:rPr>
          <w:rFonts w:ascii="Times New Roman" w:eastAsia="Times New Roman" w:hAnsi="Times New Roman" w:cs="Times New Roman"/>
          <w:color w:val="000000"/>
          <w:sz w:val="24"/>
          <w:szCs w:val="24"/>
        </w:rPr>
        <w:t xml:space="preserve"> with a sample  of </w:t>
      </w:r>
      <w:r w:rsidR="0087663C" w:rsidRPr="00D36AFD">
        <w:rPr>
          <w:rFonts w:ascii="Times New Roman" w:eastAsia="Times New Roman" w:hAnsi="Times New Roman" w:cs="Times New Roman"/>
          <w:color w:val="000000"/>
          <w:sz w:val="24"/>
          <w:szCs w:val="24"/>
        </w:rPr>
        <w:t>2185</w:t>
      </w:r>
      <w:r w:rsidRPr="00D36AFD">
        <w:rPr>
          <w:rFonts w:ascii="Times New Roman" w:eastAsia="Times New Roman" w:hAnsi="Times New Roman" w:cs="Times New Roman"/>
          <w:color w:val="000000"/>
          <w:sz w:val="24"/>
          <w:szCs w:val="24"/>
        </w:rPr>
        <w:t xml:space="preserve"> adults with quotas applied for equal distribution by gender and </w:t>
      </w:r>
      <w:r w:rsidRPr="00D36AFD">
        <w:rPr>
          <w:rFonts w:ascii="Times New Roman" w:eastAsia="Times New Roman" w:hAnsi="Times New Roman" w:cs="Times New Roman"/>
          <w:color w:val="000000"/>
          <w:sz w:val="24"/>
          <w:szCs w:val="24"/>
        </w:rPr>
        <w:lastRenderedPageBreak/>
        <w:t xml:space="preserve">three age categories (18–34, 35–54, 55+ years) will be conducted. </w:t>
      </w:r>
      <w:r w:rsidR="0087663C" w:rsidRPr="00D36AFD">
        <w:rPr>
          <w:rFonts w:ascii="Times New Roman" w:eastAsia="Times New Roman" w:hAnsi="Times New Roman" w:cs="Times New Roman"/>
          <w:color w:val="000000"/>
          <w:sz w:val="24"/>
          <w:szCs w:val="24"/>
        </w:rPr>
        <w:t>T</w:t>
      </w:r>
      <w:r w:rsidR="0076567A" w:rsidRPr="00D36AFD">
        <w:rPr>
          <w:rFonts w:ascii="Times New Roman" w:eastAsia="Times New Roman" w:hAnsi="Times New Roman" w:cs="Times New Roman"/>
          <w:color w:val="000000"/>
          <w:sz w:val="24"/>
          <w:szCs w:val="24"/>
        </w:rPr>
        <w:t>he sample size calculation was</w:t>
      </w:r>
      <w:r w:rsidR="0087663C" w:rsidRPr="00D36AFD">
        <w:rPr>
          <w:rFonts w:ascii="Times New Roman" w:eastAsia="Times New Roman" w:hAnsi="Times New Roman" w:cs="Times New Roman"/>
          <w:color w:val="000000"/>
          <w:sz w:val="24"/>
          <w:szCs w:val="24"/>
        </w:rPr>
        <w:t xml:space="preserve"> based on the proportion of the correct identification of unhealthy foods using the warning labels in previous studies</w:t>
      </w:r>
      <w:r w:rsidR="0076567A" w:rsidRPr="00D36AFD">
        <w:rPr>
          <w:rFonts w:ascii="Times New Roman" w:eastAsia="Times New Roman" w:hAnsi="Times New Roman" w:cs="Times New Roman"/>
          <w:color w:val="000000"/>
          <w:sz w:val="24"/>
          <w:szCs w:val="24"/>
        </w:rPr>
        <w:t xml:space="preserve"> (38.1)</w:t>
      </w:r>
      <w:r w:rsidR="0087663C" w:rsidRPr="00D36AFD">
        <w:rPr>
          <w:rFonts w:ascii="Times New Roman" w:eastAsia="Times New Roman" w:hAnsi="Times New Roman" w:cs="Times New Roman"/>
          <w:color w:val="000000"/>
          <w:sz w:val="24"/>
          <w:szCs w:val="24"/>
        </w:rPr>
        <w:t>, accounting for</w:t>
      </w:r>
      <w:r w:rsidR="0076567A" w:rsidRPr="00D36AFD">
        <w:rPr>
          <w:rFonts w:ascii="Times New Roman" w:eastAsia="Times New Roman" w:hAnsi="Times New Roman" w:cs="Times New Roman"/>
          <w:color w:val="000000"/>
          <w:sz w:val="24"/>
          <w:szCs w:val="24"/>
        </w:rPr>
        <w:t xml:space="preserve"> the relative risk ratio (1.32) corresponding to the nutrient of concern, and adjusting for 80% power</w:t>
      </w:r>
      <w:r w:rsidR="002A432E" w:rsidRPr="00D36AFD">
        <w:rPr>
          <w:rFonts w:ascii="Times New Roman" w:eastAsia="Times New Roman" w:hAnsi="Times New Roman" w:cs="Times New Roman"/>
          <w:color w:val="000000"/>
          <w:sz w:val="24"/>
          <w:szCs w:val="24"/>
        </w:rPr>
        <w:t>,</w:t>
      </w:r>
      <w:r w:rsidR="0076567A" w:rsidRPr="00D36AFD">
        <w:rPr>
          <w:rFonts w:ascii="Times New Roman" w:eastAsia="Times New Roman" w:hAnsi="Times New Roman" w:cs="Times New Roman"/>
          <w:color w:val="000000"/>
          <w:sz w:val="24"/>
          <w:szCs w:val="24"/>
        </w:rPr>
        <w:t xml:space="preserve"> a design effect size of 1.2</w:t>
      </w:r>
      <w:r w:rsidR="002A432E" w:rsidRPr="00D36AFD">
        <w:rPr>
          <w:rFonts w:ascii="Times New Roman" w:eastAsia="Times New Roman" w:hAnsi="Times New Roman" w:cs="Times New Roman"/>
          <w:color w:val="000000"/>
          <w:sz w:val="24"/>
          <w:szCs w:val="24"/>
        </w:rPr>
        <w:t xml:space="preserve"> and 10% non-response rate</w:t>
      </w:r>
      <w:r w:rsidR="005B3DDD" w:rsidRPr="00D36AFD">
        <w:rPr>
          <w:rFonts w:ascii="Times New Roman" w:eastAsia="Times New Roman" w:hAnsi="Times New Roman" w:cs="Times New Roman"/>
          <w:color w:val="000000"/>
          <w:sz w:val="24"/>
          <w:szCs w:val="24"/>
        </w:rPr>
        <w:t xml:space="preserve"> </w:t>
      </w:r>
      <w:r w:rsidR="005B3DDD" w:rsidRPr="00D36AFD">
        <w:rPr>
          <w:rFonts w:ascii="Times New Roman" w:eastAsia="Times New Roman" w:hAnsi="Times New Roman" w:cs="Times New Roman"/>
          <w:color w:val="000000"/>
          <w:sz w:val="24"/>
          <w:szCs w:val="24"/>
          <w:vertAlign w:val="superscript"/>
        </w:rPr>
        <w:t>49-51</w:t>
      </w:r>
      <w:r w:rsidR="0076567A" w:rsidRPr="00D36AFD">
        <w:rPr>
          <w:rFonts w:ascii="Times New Roman" w:eastAsia="Times New Roman" w:hAnsi="Times New Roman" w:cs="Times New Roman"/>
          <w:color w:val="000000"/>
          <w:sz w:val="24"/>
          <w:szCs w:val="24"/>
        </w:rPr>
        <w:t>.</w:t>
      </w:r>
      <w:r w:rsidR="0087663C" w:rsidRPr="00D36AFD">
        <w:rPr>
          <w:rFonts w:ascii="Times New Roman" w:eastAsia="Times New Roman" w:hAnsi="Times New Roman" w:cs="Times New Roman"/>
          <w:color w:val="000000"/>
          <w:sz w:val="24"/>
          <w:szCs w:val="24"/>
        </w:rPr>
        <w:t xml:space="preserve"> </w:t>
      </w:r>
      <w:r w:rsidR="0076567A" w:rsidRPr="00D36AFD">
        <w:rPr>
          <w:rFonts w:ascii="Times New Roman" w:eastAsia="Times New Roman" w:hAnsi="Times New Roman" w:cs="Times New Roman"/>
          <w:color w:val="000000"/>
          <w:sz w:val="24"/>
          <w:szCs w:val="24"/>
        </w:rPr>
        <w:t xml:space="preserve">The allocation of the overall sample size to the Counties will be proportionate to the size of the population; hence having 1251, 374, 388, and 172 participants in Nairobi County, Mombasa County, Kisumu County and Garrissa County, respectively.  </w:t>
      </w:r>
      <w:r w:rsidRPr="00D36AFD">
        <w:rPr>
          <w:rFonts w:ascii="Times New Roman" w:eastAsia="Times New Roman" w:hAnsi="Times New Roman" w:cs="Times New Roman"/>
          <w:color w:val="000000"/>
          <w:sz w:val="24"/>
          <w:szCs w:val="24"/>
        </w:rPr>
        <w:t xml:space="preserve">After assessment of eligibility using demographic variables for the recruitment quotas, respondents will be randomised to one of three selected FoPL conditions.  Participants will be shown a choice set of </w:t>
      </w:r>
      <w:r w:rsidR="00FB6CDF" w:rsidRPr="00D36AFD">
        <w:rPr>
          <w:rFonts w:ascii="Times New Roman" w:eastAsia="Times New Roman" w:hAnsi="Times New Roman" w:cs="Times New Roman"/>
          <w:color w:val="000000"/>
          <w:sz w:val="24"/>
          <w:szCs w:val="24"/>
        </w:rPr>
        <w:t>six</w:t>
      </w:r>
      <w:r w:rsidRPr="00D36AFD">
        <w:rPr>
          <w:rFonts w:ascii="Times New Roman" w:eastAsia="Times New Roman" w:hAnsi="Times New Roman" w:cs="Times New Roman"/>
          <w:color w:val="000000"/>
          <w:sz w:val="24"/>
          <w:szCs w:val="24"/>
        </w:rPr>
        <w:t xml:space="preserve"> common foods products</w:t>
      </w:r>
      <w:r w:rsidRPr="00D36AFD">
        <w:t xml:space="preserve"> </w:t>
      </w:r>
      <w:r w:rsidRPr="00D36AFD">
        <w:rPr>
          <w:rFonts w:ascii="Times New Roman" w:eastAsia="Times New Roman" w:hAnsi="Times New Roman" w:cs="Times New Roman"/>
          <w:color w:val="000000"/>
          <w:sz w:val="24"/>
          <w:szCs w:val="24"/>
        </w:rPr>
        <w:t>in random order.  A mock food product will be used to prevent brand and price knowledge from affecting the study outcomes. The food product will be chosen because it is commonly consumed in Kenya and is generally perceived as a healthy product but has a wide variation in nutritional quality. Each food product in the array will be identical except for the FoPL to isolate the effects of label characteristics. We shall seek to assess the choice of product by asking the respondents about their purchase intention and their understanding of the information conveyed by the FOPLs. To obtain this, the following questions will be posed to the participants</w:t>
      </w:r>
      <w:r w:rsidR="00FB6CDF" w:rsidRPr="00D36AFD">
        <w:rPr>
          <w:rFonts w:ascii="Times New Roman" w:eastAsia="Times New Roman" w:hAnsi="Times New Roman" w:cs="Times New Roman"/>
          <w:color w:val="000000"/>
          <w:sz w:val="24"/>
          <w:szCs w:val="24"/>
        </w:rPr>
        <w:t xml:space="preserve"> (see</w:t>
      </w:r>
      <w:r w:rsidR="00C821E0" w:rsidRPr="00D36AFD">
        <w:rPr>
          <w:rFonts w:ascii="Times New Roman" w:eastAsia="Times New Roman" w:hAnsi="Times New Roman" w:cs="Times New Roman"/>
          <w:color w:val="000000"/>
          <w:sz w:val="24"/>
          <w:szCs w:val="24"/>
        </w:rPr>
        <w:t xml:space="preserve"> further questions</w:t>
      </w:r>
      <w:r w:rsidR="00FB6CDF" w:rsidRPr="00D36AFD">
        <w:rPr>
          <w:rFonts w:ascii="Times New Roman" w:eastAsia="Times New Roman" w:hAnsi="Times New Roman" w:cs="Times New Roman"/>
          <w:color w:val="000000"/>
          <w:sz w:val="24"/>
          <w:szCs w:val="24"/>
        </w:rPr>
        <w:t xml:space="preserve"> attached questionnaire</w:t>
      </w:r>
      <w:proofErr w:type="gramStart"/>
      <w:r w:rsidR="00FB6CDF" w:rsidRPr="00D36AFD">
        <w:rPr>
          <w:rFonts w:ascii="Times New Roman" w:eastAsia="Times New Roman" w:hAnsi="Times New Roman" w:cs="Times New Roman"/>
          <w:color w:val="000000"/>
          <w:sz w:val="24"/>
          <w:szCs w:val="24"/>
        </w:rPr>
        <w:t>)</w:t>
      </w:r>
      <w:r w:rsidRPr="00D36AFD">
        <w:rPr>
          <w:rFonts w:ascii="Times New Roman" w:eastAsia="Times New Roman" w:hAnsi="Times New Roman" w:cs="Times New Roman"/>
          <w:color w:val="000000"/>
          <w:sz w:val="24"/>
          <w:szCs w:val="24"/>
        </w:rPr>
        <w:t>;</w:t>
      </w:r>
      <w:proofErr w:type="gramEnd"/>
    </w:p>
    <w:p w14:paraId="1F5AB6D3" w14:textId="5CFE8A28" w:rsidR="00940635" w:rsidRPr="00D36AFD" w:rsidRDefault="00CB1862">
      <w:pPr>
        <w:numPr>
          <w:ilvl w:val="0"/>
          <w:numId w:val="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How likely are you to buy these products for yourself or your family?</w:t>
      </w:r>
    </w:p>
    <w:p w14:paraId="2C071233" w14:textId="345C27F4" w:rsidR="00CB1862" w:rsidRPr="00D36AFD" w:rsidRDefault="00CB1862">
      <w:pPr>
        <w:numPr>
          <w:ilvl w:val="0"/>
          <w:numId w:val="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In your opinion </w:t>
      </w:r>
      <w:r w:rsidR="00FB6CDF" w:rsidRPr="00D36AFD">
        <w:rPr>
          <w:rFonts w:ascii="Times New Roman" w:eastAsia="Times New Roman" w:hAnsi="Times New Roman" w:cs="Times New Roman"/>
          <w:color w:val="000000"/>
          <w:sz w:val="24"/>
          <w:szCs w:val="24"/>
        </w:rPr>
        <w:t>which one of product A or product B contains the higher amount of sugar?</w:t>
      </w:r>
    </w:p>
    <w:p w14:paraId="0BB2AF2B" w14:textId="5014F545" w:rsidR="00FB6CDF" w:rsidRPr="00D36AFD" w:rsidRDefault="00FB6CDF" w:rsidP="00FB6CDF">
      <w:pPr>
        <w:numPr>
          <w:ilvl w:val="0"/>
          <w:numId w:val="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In your opinion which one of product A or product B contains the higher amount of salt?</w:t>
      </w:r>
    </w:p>
    <w:p w14:paraId="7B68C80B" w14:textId="37F60939" w:rsidR="00FB6CDF" w:rsidRPr="00D36AFD" w:rsidRDefault="00FB6CDF" w:rsidP="00FB6CDF">
      <w:pPr>
        <w:numPr>
          <w:ilvl w:val="0"/>
          <w:numId w:val="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In your opinion which one of product A or product B contains the higher amount of saturated fat (fat that is bad for your heart?)</w:t>
      </w:r>
    </w:p>
    <w:p w14:paraId="76247DB0" w14:textId="442D5DA0" w:rsidR="00940635" w:rsidRPr="00D36AFD" w:rsidRDefault="00FB6CDF" w:rsidP="00FB6CDF">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In your opinion which one of these two products is most unhealthy?</w:t>
      </w:r>
    </w:p>
    <w:p w14:paraId="70F6BC40"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This question order will be followed to avoid respondents being primed to use healthiness as their primary selection criterion when reporting their purchase intentions.</w:t>
      </w:r>
    </w:p>
    <w:p w14:paraId="44A0D212"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Descriptive analysis of consumer choices of the FoPL and to understand the effects of the label characteristics on the choice of food, logistic regression analyses using the full sample will be performed for the outcome variables of purchase intention and demonstrate correct understanding.</w:t>
      </w:r>
    </w:p>
    <w:p w14:paraId="68A7C8E4" w14:textId="77777777" w:rsidR="00940635" w:rsidRPr="00D36AFD" w:rsidRDefault="00081B51">
      <w:pPr>
        <w:spacing w:line="360" w:lineRule="auto"/>
        <w:jc w:val="both"/>
        <w:rPr>
          <w:rFonts w:ascii="Times New Roman" w:eastAsia="Times New Roman" w:hAnsi="Times New Roman" w:cs="Times New Roman"/>
          <w:i/>
          <w:color w:val="000000"/>
          <w:sz w:val="24"/>
          <w:szCs w:val="24"/>
          <w:u w:val="single"/>
        </w:rPr>
      </w:pPr>
      <w:r w:rsidRPr="00D36AFD">
        <w:rPr>
          <w:rFonts w:ascii="Times New Roman" w:eastAsia="Times New Roman" w:hAnsi="Times New Roman" w:cs="Times New Roman"/>
          <w:i/>
          <w:color w:val="000000"/>
          <w:sz w:val="24"/>
          <w:szCs w:val="24"/>
        </w:rPr>
        <w:lastRenderedPageBreak/>
        <w:t>3.0</w:t>
      </w:r>
      <w:r w:rsidRPr="00D36AFD">
        <w:rPr>
          <w:rFonts w:ascii="Times New Roman" w:eastAsia="Times New Roman" w:hAnsi="Times New Roman" w:cs="Times New Roman"/>
          <w:i/>
          <w:color w:val="000000"/>
          <w:sz w:val="24"/>
          <w:szCs w:val="24"/>
        </w:rPr>
        <w:tab/>
      </w:r>
      <w:r w:rsidRPr="00D36AFD">
        <w:rPr>
          <w:rFonts w:ascii="Times New Roman" w:eastAsia="Times New Roman" w:hAnsi="Times New Roman" w:cs="Times New Roman"/>
          <w:i/>
          <w:color w:val="000000"/>
          <w:sz w:val="24"/>
          <w:szCs w:val="24"/>
          <w:u w:val="single"/>
        </w:rPr>
        <w:t xml:space="preserve">Legal feasibility assessment for implementing </w:t>
      </w:r>
      <w:proofErr w:type="gramStart"/>
      <w:r w:rsidRPr="00D36AFD">
        <w:rPr>
          <w:rFonts w:ascii="Times New Roman" w:eastAsia="Times New Roman" w:hAnsi="Times New Roman" w:cs="Times New Roman"/>
          <w:i/>
          <w:color w:val="000000"/>
          <w:sz w:val="24"/>
          <w:szCs w:val="24"/>
          <w:u w:val="single"/>
        </w:rPr>
        <w:t>policies</w:t>
      </w:r>
      <w:proofErr w:type="gramEnd"/>
      <w:r w:rsidRPr="00D36AFD">
        <w:rPr>
          <w:rFonts w:ascii="Times New Roman" w:eastAsia="Times New Roman" w:hAnsi="Times New Roman" w:cs="Times New Roman"/>
          <w:i/>
          <w:color w:val="000000"/>
          <w:sz w:val="24"/>
          <w:szCs w:val="24"/>
          <w:u w:val="single"/>
        </w:rPr>
        <w:t xml:space="preserve"> </w:t>
      </w:r>
    </w:p>
    <w:p w14:paraId="07D2B031" w14:textId="77777777" w:rsidR="00940635" w:rsidRPr="00D36AFD" w:rsidRDefault="00081B51">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A two-stage legal feasibility assessment</w:t>
      </w:r>
      <w:r w:rsidRPr="00D36AFD">
        <w:rPr>
          <w:rFonts w:ascii="Times New Roman" w:eastAsia="Times New Roman" w:hAnsi="Times New Roman" w:cs="Times New Roman"/>
          <w:color w:val="000000"/>
          <w:sz w:val="24"/>
          <w:szCs w:val="24"/>
          <w:vertAlign w:val="superscript"/>
        </w:rPr>
        <w:t>1</w:t>
      </w:r>
      <w:r w:rsidRPr="00D36AFD">
        <w:rPr>
          <w:rFonts w:ascii="Times New Roman" w:eastAsia="Times New Roman" w:hAnsi="Times New Roman" w:cs="Times New Roman"/>
          <w:color w:val="000000"/>
          <w:sz w:val="24"/>
          <w:szCs w:val="24"/>
        </w:rPr>
        <w:t>will be undertaken based on the methodology by Pomeranz</w:t>
      </w:r>
      <w:r w:rsidRPr="00D36AFD">
        <w:rPr>
          <w:rFonts w:ascii="Times New Roman" w:eastAsia="Times New Roman" w:hAnsi="Times New Roman" w:cs="Times New Roman"/>
          <w:color w:val="000000"/>
          <w:sz w:val="24"/>
          <w:szCs w:val="24"/>
          <w:vertAlign w:val="superscript"/>
        </w:rPr>
        <w:t>39,40</w:t>
      </w:r>
      <w:r w:rsidRPr="00D36AFD">
        <w:rPr>
          <w:rFonts w:ascii="Times New Roman" w:eastAsia="Times New Roman" w:hAnsi="Times New Roman" w:cs="Times New Roman"/>
          <w:color w:val="000000"/>
          <w:sz w:val="24"/>
          <w:szCs w:val="24"/>
        </w:rPr>
        <w:t>.</w:t>
      </w:r>
    </w:p>
    <w:p w14:paraId="38BE07B7" w14:textId="77777777" w:rsidR="00940635" w:rsidRPr="00D36AFD" w:rsidRDefault="00081B51">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Stage 1: A review will be conducted to establish potential evidence-based routes to implement priority policy interventions for the policy bundle. It will review local laws relating to these priority interventions (i.e. existing marketing, labelling laws, SSB taxation, and public procurement laws within Kenya) as well as laws used in other countries to adopt and implement similar interventions (e.g. the Chilean marketing and labelling laws). This will provide a breadth of different implementation options,</w:t>
      </w:r>
      <w:r w:rsidRPr="00D36AFD">
        <w:t xml:space="preserve"> </w:t>
      </w:r>
      <w:r w:rsidRPr="00D36AFD">
        <w:rPr>
          <w:rFonts w:ascii="Times New Roman" w:eastAsia="Times New Roman" w:hAnsi="Times New Roman" w:cs="Times New Roman"/>
          <w:color w:val="000000"/>
          <w:sz w:val="24"/>
          <w:szCs w:val="24"/>
        </w:rPr>
        <w:t xml:space="preserve">which will then be evaluated in stage 2.  The legal documents to be reviewed in this stage will be drawn from </w:t>
      </w:r>
      <w:proofErr w:type="gramStart"/>
      <w:r w:rsidRPr="00D36AFD">
        <w:rPr>
          <w:rFonts w:ascii="Times New Roman" w:eastAsia="Times New Roman" w:hAnsi="Times New Roman" w:cs="Times New Roman"/>
          <w:color w:val="000000"/>
          <w:sz w:val="24"/>
          <w:szCs w:val="24"/>
        </w:rPr>
        <w:t>a number of</w:t>
      </w:r>
      <w:proofErr w:type="gramEnd"/>
      <w:r w:rsidRPr="00D36AFD">
        <w:rPr>
          <w:rFonts w:ascii="Times New Roman" w:eastAsia="Times New Roman" w:hAnsi="Times New Roman" w:cs="Times New Roman"/>
          <w:color w:val="000000"/>
          <w:sz w:val="24"/>
          <w:szCs w:val="24"/>
        </w:rPr>
        <w:t xml:space="preserve"> databases. Domestic constitutions will be drawn from the Constitute Project. Local laws will be accessed using domestic legal information institutes (LII) databases and paid-for databases such as LexisNexis and Westlaw. Information related to the process will be taken from Parliamentary guidelines and rules, as well as law-making provisions within the domestic constitutions and relevant laws. </w:t>
      </w:r>
    </w:p>
    <w:p w14:paraId="6D3ACEFF" w14:textId="77777777" w:rsidR="00940635" w:rsidRPr="00D36AFD" w:rsidRDefault="00940635">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0423EC79" w14:textId="77777777" w:rsidR="00940635" w:rsidRPr="00D36AFD" w:rsidRDefault="00081B51">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Stage 2: This will involve a legal feasibility evaluation utilizing innovative context-specific legal feasibility framework</w:t>
      </w:r>
      <w:r w:rsidRPr="00D36AFD">
        <w:rPr>
          <w:rFonts w:ascii="Times New Roman" w:eastAsia="Times New Roman" w:hAnsi="Times New Roman" w:cs="Times New Roman"/>
          <w:color w:val="000000"/>
          <w:sz w:val="24"/>
          <w:szCs w:val="24"/>
          <w:vertAlign w:val="superscript"/>
        </w:rPr>
        <w:t>41</w:t>
      </w:r>
      <w:r w:rsidRPr="00D36AFD">
        <w:rPr>
          <w:rFonts w:ascii="Times New Roman" w:eastAsia="Times New Roman" w:hAnsi="Times New Roman" w:cs="Times New Roman"/>
          <w:color w:val="000000"/>
          <w:sz w:val="24"/>
          <w:szCs w:val="24"/>
        </w:rPr>
        <w:t xml:space="preserve"> developed by PRICELESS to structure consideration of the relevant legal issues. Analysis of these components of the legal system will then be used to select, </w:t>
      </w:r>
      <w:proofErr w:type="gramStart"/>
      <w:r w:rsidRPr="00D36AFD">
        <w:rPr>
          <w:rFonts w:ascii="Times New Roman" w:eastAsia="Times New Roman" w:hAnsi="Times New Roman" w:cs="Times New Roman"/>
          <w:color w:val="000000"/>
          <w:sz w:val="24"/>
          <w:szCs w:val="24"/>
        </w:rPr>
        <w:t>test</w:t>
      </w:r>
      <w:proofErr w:type="gramEnd"/>
      <w:r w:rsidRPr="00D36AFD">
        <w:t xml:space="preserve"> </w:t>
      </w:r>
      <w:r w:rsidRPr="00D36AFD">
        <w:rPr>
          <w:rFonts w:ascii="Times New Roman" w:eastAsia="Times New Roman" w:hAnsi="Times New Roman" w:cs="Times New Roman"/>
          <w:color w:val="000000"/>
          <w:sz w:val="24"/>
          <w:szCs w:val="24"/>
        </w:rPr>
        <w:t>and improve the structure of the interventions in a way that takes advantage of the existing legal framework in the country and mitigates potential hurdles or barriers to adoption. The analysis will use qualitative interviews with policy and decision-makers. These analyses will enrich our understanding of the law-making process from the political perspective and context surrounding the interventions.</w:t>
      </w:r>
    </w:p>
    <w:p w14:paraId="71339DB8"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Further, a desk review of the legal system, legal instruments (regulation or laws about the issue), and financial tools (e.g. the taxes), while using Kingdon theory of three ‘streams’</w:t>
      </w:r>
      <w:r w:rsidRPr="00D36AFD">
        <w:rPr>
          <w:rFonts w:ascii="Times New Roman" w:eastAsia="Times New Roman" w:hAnsi="Times New Roman" w:cs="Times New Roman"/>
          <w:color w:val="000000"/>
          <w:sz w:val="24"/>
          <w:szCs w:val="24"/>
          <w:vertAlign w:val="superscript"/>
        </w:rPr>
        <w:t>42</w:t>
      </w:r>
      <w:r w:rsidRPr="00D36AFD">
        <w:rPr>
          <w:rFonts w:ascii="Times New Roman" w:eastAsia="Times New Roman" w:hAnsi="Times New Roman" w:cs="Times New Roman"/>
          <w:color w:val="000000"/>
          <w:sz w:val="24"/>
          <w:szCs w:val="24"/>
        </w:rPr>
        <w:t xml:space="preserve"> will be used to </w:t>
      </w:r>
      <w:proofErr w:type="gramStart"/>
      <w:r w:rsidRPr="00D36AFD">
        <w:rPr>
          <w:rFonts w:ascii="Times New Roman" w:eastAsia="Times New Roman" w:hAnsi="Times New Roman" w:cs="Times New Roman"/>
          <w:color w:val="000000"/>
          <w:sz w:val="24"/>
          <w:szCs w:val="24"/>
        </w:rPr>
        <w:t>establish;</w:t>
      </w:r>
      <w:proofErr w:type="gramEnd"/>
      <w:r w:rsidRPr="00D36AFD">
        <w:rPr>
          <w:rFonts w:ascii="Times New Roman" w:eastAsia="Times New Roman" w:hAnsi="Times New Roman" w:cs="Times New Roman"/>
          <w:color w:val="000000"/>
          <w:sz w:val="24"/>
          <w:szCs w:val="24"/>
        </w:rPr>
        <w:t xml:space="preserve"> </w:t>
      </w:r>
    </w:p>
    <w:p w14:paraId="64368BC9"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i/>
          <w:color w:val="000000"/>
          <w:sz w:val="24"/>
          <w:szCs w:val="24"/>
        </w:rPr>
        <w:t>The problem</w:t>
      </w:r>
      <w:r w:rsidRPr="00D36AFD">
        <w:rPr>
          <w:rFonts w:ascii="Times New Roman" w:eastAsia="Times New Roman" w:hAnsi="Times New Roman" w:cs="Times New Roman"/>
          <w:color w:val="000000"/>
          <w:sz w:val="24"/>
          <w:szCs w:val="24"/>
        </w:rPr>
        <w:t xml:space="preserve">- issues that affect the perception on the relevance of the </w:t>
      </w:r>
      <w:proofErr w:type="gramStart"/>
      <w:r w:rsidRPr="00D36AFD">
        <w:rPr>
          <w:rFonts w:ascii="Times New Roman" w:eastAsia="Times New Roman" w:hAnsi="Times New Roman" w:cs="Times New Roman"/>
          <w:color w:val="000000"/>
          <w:sz w:val="24"/>
          <w:szCs w:val="24"/>
        </w:rPr>
        <w:t>policies;</w:t>
      </w:r>
      <w:proofErr w:type="gramEnd"/>
      <w:r w:rsidRPr="00D36AFD">
        <w:rPr>
          <w:rFonts w:ascii="Times New Roman" w:eastAsia="Times New Roman" w:hAnsi="Times New Roman" w:cs="Times New Roman"/>
          <w:color w:val="000000"/>
          <w:sz w:val="24"/>
          <w:szCs w:val="24"/>
        </w:rPr>
        <w:t xml:space="preserve">  </w:t>
      </w:r>
    </w:p>
    <w:p w14:paraId="1B9D863F"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i/>
          <w:color w:val="000000"/>
          <w:sz w:val="24"/>
          <w:szCs w:val="24"/>
        </w:rPr>
        <w:t>The policy stream</w:t>
      </w:r>
      <w:r w:rsidRPr="00D36AFD">
        <w:rPr>
          <w:rFonts w:ascii="Times New Roman" w:eastAsia="Times New Roman" w:hAnsi="Times New Roman" w:cs="Times New Roman"/>
          <w:color w:val="000000"/>
          <w:sz w:val="24"/>
          <w:szCs w:val="24"/>
        </w:rPr>
        <w:t xml:space="preserve">- identify experts and </w:t>
      </w:r>
      <w:proofErr w:type="gramStart"/>
      <w:r w:rsidRPr="00D36AFD">
        <w:rPr>
          <w:rFonts w:ascii="Times New Roman" w:eastAsia="Times New Roman" w:hAnsi="Times New Roman" w:cs="Times New Roman"/>
          <w:color w:val="000000"/>
          <w:sz w:val="24"/>
          <w:szCs w:val="24"/>
        </w:rPr>
        <w:t>policy-makers</w:t>
      </w:r>
      <w:proofErr w:type="gramEnd"/>
      <w:r w:rsidRPr="00D36AFD">
        <w:rPr>
          <w:rFonts w:ascii="Times New Roman" w:eastAsia="Times New Roman" w:hAnsi="Times New Roman" w:cs="Times New Roman"/>
          <w:color w:val="000000"/>
          <w:sz w:val="24"/>
          <w:szCs w:val="24"/>
        </w:rPr>
        <w:t xml:space="preserve"> looking at the problem and proposing solutions; </w:t>
      </w:r>
    </w:p>
    <w:p w14:paraId="0533EBC4"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i/>
          <w:color w:val="000000"/>
          <w:sz w:val="24"/>
          <w:szCs w:val="24"/>
        </w:rPr>
        <w:t>The political interest</w:t>
      </w:r>
      <w:r w:rsidRPr="00D36AFD">
        <w:rPr>
          <w:rFonts w:ascii="Times New Roman" w:eastAsia="Times New Roman" w:hAnsi="Times New Roman" w:cs="Times New Roman"/>
          <w:color w:val="000000"/>
          <w:sz w:val="24"/>
          <w:szCs w:val="24"/>
        </w:rPr>
        <w:t>- governmental will and public support</w:t>
      </w:r>
    </w:p>
    <w:p w14:paraId="33E87F9E"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lastRenderedPageBreak/>
        <w:t xml:space="preserve">To identify policy windows and assemble policy instruments, we shall hold key Informant Interviews with policymakers to identify legal barriers to policy development. We shall map 15 appropriate Key informant interviewees that can give perspectives on the three levels identified in the Kingdon Theory. </w:t>
      </w:r>
    </w:p>
    <w:p w14:paraId="797499D3"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This process will be guided by a legal consultant with expertise in policy mechanisms and legal frameworks.</w:t>
      </w:r>
    </w:p>
    <w:p w14:paraId="093E3428" w14:textId="77777777" w:rsidR="00940635" w:rsidRPr="00D36AFD" w:rsidRDefault="00081B51">
      <w:pPr>
        <w:widowControl w:val="0"/>
        <w:spacing w:line="360" w:lineRule="auto"/>
        <w:jc w:val="both"/>
        <w:rPr>
          <w:rFonts w:ascii="Times New Roman" w:eastAsia="Times New Roman" w:hAnsi="Times New Roman" w:cs="Times New Roman"/>
          <w:i/>
          <w:color w:val="000000"/>
          <w:sz w:val="24"/>
          <w:szCs w:val="24"/>
          <w:u w:val="single"/>
        </w:rPr>
      </w:pPr>
      <w:r w:rsidRPr="00D36AFD">
        <w:rPr>
          <w:rFonts w:ascii="Times New Roman" w:eastAsia="Times New Roman" w:hAnsi="Times New Roman" w:cs="Times New Roman"/>
          <w:color w:val="000000"/>
          <w:sz w:val="24"/>
          <w:szCs w:val="24"/>
        </w:rPr>
        <w:t>3.1</w:t>
      </w:r>
      <w:r w:rsidRPr="00D36AFD">
        <w:rPr>
          <w:rFonts w:ascii="Times New Roman" w:eastAsia="Times New Roman" w:hAnsi="Times New Roman" w:cs="Times New Roman"/>
          <w:color w:val="000000"/>
          <w:sz w:val="24"/>
          <w:szCs w:val="24"/>
        </w:rPr>
        <w:tab/>
      </w:r>
      <w:r w:rsidRPr="00D36AFD">
        <w:rPr>
          <w:rFonts w:ascii="Times New Roman" w:eastAsia="Times New Roman" w:hAnsi="Times New Roman" w:cs="Times New Roman"/>
          <w:i/>
          <w:color w:val="000000"/>
          <w:sz w:val="24"/>
          <w:szCs w:val="24"/>
          <w:u w:val="single"/>
        </w:rPr>
        <w:t xml:space="preserve">Evaluate engagement approaches most likely to increase the adoption of policies. </w:t>
      </w:r>
    </w:p>
    <w:p w14:paraId="3263A9CA"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We shall carry out a desk review of grey literature (minutes, reports) and published literature to assess stakeholder involvement and document strategies for their successful involvement </w:t>
      </w:r>
      <w:r w:rsidRPr="00D36AFD">
        <w:rPr>
          <w:rFonts w:ascii="Times New Roman" w:eastAsia="Times New Roman" w:hAnsi="Times New Roman" w:cs="Times New Roman"/>
          <w:color w:val="000000"/>
          <w:sz w:val="24"/>
          <w:szCs w:val="24"/>
          <w:vertAlign w:val="superscript"/>
        </w:rPr>
        <w:t>43</w:t>
      </w:r>
      <w:r w:rsidRPr="00D36AFD">
        <w:rPr>
          <w:rFonts w:ascii="Times New Roman" w:eastAsia="Times New Roman" w:hAnsi="Times New Roman" w:cs="Times New Roman"/>
          <w:color w:val="000000"/>
          <w:sz w:val="24"/>
          <w:szCs w:val="24"/>
        </w:rPr>
        <w:t>. This will be followed by Key informant Interviews with stakeholders undertaking the policy review process to assess their perceived willingness and readiness to adopt the FEP-Action approach and their potential barriers and facilitators to successful adoption of policies. We shall also carry out direct observations during the policy development meetings to document the demand for evidence and advocacy strategies noted to increase the adoption of policies. We shall interview 20 participants in</w:t>
      </w:r>
      <w:r w:rsidRPr="00D36AFD">
        <w:t xml:space="preserve"> </w:t>
      </w:r>
      <w:r w:rsidRPr="00D36AFD">
        <w:rPr>
          <w:rFonts w:ascii="Times New Roman" w:eastAsia="Times New Roman" w:hAnsi="Times New Roman" w:cs="Times New Roman"/>
          <w:color w:val="000000"/>
          <w:sz w:val="24"/>
          <w:szCs w:val="24"/>
        </w:rPr>
        <w:t>the policy-making policy</w:t>
      </w:r>
      <w:r w:rsidRPr="00D36AFD">
        <w:t xml:space="preserve"> </w:t>
      </w:r>
      <w:r w:rsidRPr="00D36AFD">
        <w:rPr>
          <w:rFonts w:ascii="Times New Roman" w:eastAsia="Times New Roman" w:hAnsi="Times New Roman" w:cs="Times New Roman"/>
          <w:color w:val="000000"/>
          <w:sz w:val="24"/>
          <w:szCs w:val="24"/>
        </w:rPr>
        <w:t>process using KIIs and IDIs to understand their perceptions,</w:t>
      </w:r>
      <w:r w:rsidRPr="00D36AFD">
        <w:t xml:space="preserve"> </w:t>
      </w:r>
      <w:r w:rsidRPr="00D36AFD">
        <w:rPr>
          <w:rFonts w:ascii="Times New Roman" w:eastAsia="Times New Roman" w:hAnsi="Times New Roman" w:cs="Times New Roman"/>
          <w:color w:val="000000"/>
          <w:sz w:val="24"/>
          <w:szCs w:val="24"/>
        </w:rPr>
        <w:t>experiences, and their recommended approaches to policy adoption.</w:t>
      </w:r>
    </w:p>
    <w:p w14:paraId="34757A42"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To analyse this information, we shall map advocacy partners to analyse</w:t>
      </w:r>
      <w:r w:rsidRPr="00D36AFD">
        <w:t xml:space="preserve"> </w:t>
      </w:r>
      <w:r w:rsidRPr="00D36AFD">
        <w:rPr>
          <w:rFonts w:ascii="Times New Roman" w:eastAsia="Times New Roman" w:hAnsi="Times New Roman" w:cs="Times New Roman"/>
          <w:color w:val="000000"/>
          <w:sz w:val="24"/>
          <w:szCs w:val="24"/>
        </w:rPr>
        <w:t>participation and engagement and use the McQueens et al framework</w:t>
      </w:r>
      <w:r w:rsidRPr="00D36AFD">
        <w:rPr>
          <w:rFonts w:ascii="Times New Roman" w:eastAsia="Times New Roman" w:hAnsi="Times New Roman" w:cs="Times New Roman"/>
          <w:color w:val="000000"/>
          <w:sz w:val="24"/>
          <w:szCs w:val="24"/>
          <w:vertAlign w:val="superscript"/>
        </w:rPr>
        <w:t>43</w:t>
      </w:r>
      <w:r w:rsidRPr="00D36AFD">
        <w:rPr>
          <w:rFonts w:ascii="Times New Roman" w:eastAsia="Times New Roman" w:hAnsi="Times New Roman" w:cs="Times New Roman"/>
          <w:color w:val="000000"/>
          <w:sz w:val="24"/>
          <w:szCs w:val="24"/>
        </w:rPr>
        <w:t xml:space="preserve"> to provide evidence on the stakeholder involvement.</w:t>
      </w:r>
    </w:p>
    <w:p w14:paraId="19E00195" w14:textId="77777777" w:rsidR="00940635" w:rsidRPr="00D36AFD" w:rsidRDefault="00081B51">
      <w:pPr>
        <w:spacing w:line="360" w:lineRule="auto"/>
        <w:jc w:val="both"/>
        <w:rPr>
          <w:rFonts w:ascii="Times New Roman" w:eastAsia="Times New Roman" w:hAnsi="Times New Roman" w:cs="Times New Roman"/>
          <w:i/>
          <w:color w:val="000000"/>
          <w:sz w:val="24"/>
          <w:szCs w:val="24"/>
          <w:u w:val="single"/>
        </w:rPr>
      </w:pPr>
      <w:r w:rsidRPr="00D36AFD">
        <w:rPr>
          <w:rFonts w:ascii="Times New Roman" w:eastAsia="Times New Roman" w:hAnsi="Times New Roman" w:cs="Times New Roman"/>
          <w:i/>
          <w:color w:val="000000"/>
          <w:sz w:val="24"/>
          <w:szCs w:val="24"/>
          <w:u w:val="single"/>
        </w:rPr>
        <w:t>5-Systems Dynamics Modelling Method</w:t>
      </w:r>
    </w:p>
    <w:p w14:paraId="41A96F2B"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Through the guidance of a consultant, this study will employ group model building (GMB), a system dynamics approach to gain insights into the connections between variables influencing food-related policymaking of the selected policies. GMB, a participatory method, will involve a group of key informants (people with content and knowledge specific to the problem under consideration) in a modelling process conducted in line with a system dynamics approach</w:t>
      </w:r>
      <w:r w:rsidRPr="00D36AFD">
        <w:rPr>
          <w:rFonts w:ascii="Times New Roman" w:eastAsia="Times New Roman" w:hAnsi="Times New Roman" w:cs="Times New Roman"/>
          <w:color w:val="000000"/>
          <w:sz w:val="24"/>
          <w:szCs w:val="24"/>
          <w:vertAlign w:val="superscript"/>
        </w:rPr>
        <w:t>44,45</w:t>
      </w:r>
      <w:r w:rsidRPr="00D36AFD">
        <w:rPr>
          <w:rFonts w:ascii="Times New Roman" w:eastAsia="Times New Roman" w:hAnsi="Times New Roman" w:cs="Times New Roman"/>
          <w:color w:val="000000"/>
          <w:sz w:val="24"/>
          <w:szCs w:val="24"/>
        </w:rPr>
        <w:t xml:space="preserve"> to gain insights into the connections between variables influencing food policy uptake and implementation. </w:t>
      </w:r>
    </w:p>
    <w:p w14:paraId="1C1AADBF"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Recruitment: Policy makers involved in food-related policymaking and who have the power to influence change in the government system will be purposely recruited from the relevant government ministries, private sectors, non-government organisations, the </w:t>
      </w:r>
      <w:proofErr w:type="gramStart"/>
      <w:r w:rsidRPr="00D36AFD">
        <w:rPr>
          <w:rFonts w:ascii="Times New Roman" w:eastAsia="Times New Roman" w:hAnsi="Times New Roman" w:cs="Times New Roman"/>
          <w:color w:val="000000"/>
          <w:sz w:val="24"/>
          <w:szCs w:val="24"/>
        </w:rPr>
        <w:t>general public</w:t>
      </w:r>
      <w:proofErr w:type="gramEnd"/>
      <w:r w:rsidRPr="00D36AFD">
        <w:rPr>
          <w:rFonts w:ascii="Times New Roman" w:eastAsia="Times New Roman" w:hAnsi="Times New Roman" w:cs="Times New Roman"/>
          <w:color w:val="000000"/>
          <w:sz w:val="24"/>
          <w:szCs w:val="24"/>
        </w:rPr>
        <w:t xml:space="preserve">, </w:t>
      </w:r>
      <w:r w:rsidRPr="00D36AFD">
        <w:rPr>
          <w:rFonts w:ascii="Times New Roman" w:eastAsia="Times New Roman" w:hAnsi="Times New Roman" w:cs="Times New Roman"/>
          <w:color w:val="000000"/>
          <w:sz w:val="24"/>
          <w:szCs w:val="24"/>
        </w:rPr>
        <w:lastRenderedPageBreak/>
        <w:t xml:space="preserve">industries, and manufacturers. They will be interviewed as key stakeholders in food systems and non-communicable diseases (NCDs) prevention and policy development. </w:t>
      </w:r>
    </w:p>
    <w:p w14:paraId="46884C28"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Each GMB team will comprise four members, namely a team leader/lead facilitator, two note -takers, and a modeller. All team members will receive practical training in data collection for each step in the process based on a handbook of scripts</w:t>
      </w:r>
      <w:r w:rsidRPr="00D36AFD">
        <w:rPr>
          <w:rFonts w:ascii="Times New Roman" w:eastAsia="Times New Roman" w:hAnsi="Times New Roman" w:cs="Times New Roman"/>
          <w:color w:val="000000"/>
          <w:sz w:val="24"/>
          <w:szCs w:val="24"/>
          <w:vertAlign w:val="superscript"/>
        </w:rPr>
        <w:t>46</w:t>
      </w:r>
      <w:r w:rsidRPr="00D36AFD">
        <w:rPr>
          <w:rFonts w:ascii="Times New Roman" w:eastAsia="Times New Roman" w:hAnsi="Times New Roman" w:cs="Times New Roman"/>
          <w:color w:val="000000"/>
          <w:sz w:val="24"/>
          <w:szCs w:val="24"/>
        </w:rPr>
        <w:t xml:space="preserve"> for developing structured GMB sessions.</w:t>
      </w:r>
    </w:p>
    <w:p w14:paraId="75DE7737"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Data collection: Data will be sourced in three different ways (i) Secondary data from existing databases-this kind of data will provide the modellers with a way to conceptualize the underpinning structure of the models (ii) Primary data will be collected over three GMB workshops conducted over 3 days at a venue away from participants’ usual workplace to help them fully engage in the discussion (iii) by employing parameter estimation techniques in cases not covered by (i) and (ii). The collection of data as well as parameter estimation models will improve the reliability and rigor of the system dynamics approach and help calibrate the SD model</w:t>
      </w:r>
      <w:r w:rsidRPr="00D36AFD">
        <w:rPr>
          <w:rFonts w:ascii="Times New Roman" w:eastAsia="Times New Roman" w:hAnsi="Times New Roman" w:cs="Times New Roman"/>
          <w:color w:val="000000"/>
          <w:sz w:val="24"/>
          <w:szCs w:val="24"/>
          <w:vertAlign w:val="superscript"/>
        </w:rPr>
        <w:t>47,48</w:t>
      </w:r>
      <w:r w:rsidRPr="00D36AFD">
        <w:rPr>
          <w:rFonts w:ascii="Times New Roman" w:eastAsia="Times New Roman" w:hAnsi="Times New Roman" w:cs="Times New Roman"/>
          <w:color w:val="000000"/>
          <w:sz w:val="24"/>
          <w:szCs w:val="24"/>
        </w:rPr>
        <w:t>.</w:t>
      </w:r>
    </w:p>
    <w:p w14:paraId="72906D44"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Session 1: Problem structuring: First, the participants comprising key stakeholders from the four policy sectors will be given an overview of NCDs and the policymaking process to draw on their understanding of the dynamic nature of the underlying drivers. The GMB team will engage the stakeholders in a bid to establish the power structure, interest, and influence they hold on the four food policies. Participants will identify factors influencing the implementation of the four food policies (Front of packet labelling, marketing restriction of unhealthy food, public procurement, and fiscal policies) and the relationships that exist within the factors. This process will also involve eliciting expert parameter estimates, identification of possible sources of data</w:t>
      </w:r>
      <w:r w:rsidRPr="00D36AFD">
        <w:t xml:space="preserve"> </w:t>
      </w:r>
      <w:r w:rsidRPr="00D36AFD">
        <w:rPr>
          <w:rFonts w:ascii="Times New Roman" w:eastAsia="Times New Roman" w:hAnsi="Times New Roman" w:cs="Times New Roman"/>
          <w:color w:val="000000"/>
          <w:sz w:val="24"/>
          <w:szCs w:val="24"/>
        </w:rPr>
        <w:t>and formulation of minimum, maximum, mean</w:t>
      </w:r>
      <w:r w:rsidRPr="00D36AFD">
        <w:t xml:space="preserve"> </w:t>
      </w:r>
      <w:r w:rsidRPr="00D36AFD">
        <w:rPr>
          <w:rFonts w:ascii="Times New Roman" w:eastAsia="Times New Roman" w:hAnsi="Times New Roman" w:cs="Times New Roman"/>
          <w:color w:val="000000"/>
          <w:sz w:val="24"/>
          <w:szCs w:val="24"/>
        </w:rPr>
        <w:t>and median of parameters</w:t>
      </w:r>
      <w:r w:rsidRPr="00D36AFD">
        <w:rPr>
          <w:rFonts w:ascii="Times New Roman" w:eastAsia="Times New Roman" w:hAnsi="Times New Roman" w:cs="Times New Roman"/>
          <w:color w:val="000000"/>
          <w:sz w:val="24"/>
          <w:szCs w:val="24"/>
          <w:vertAlign w:val="superscript"/>
        </w:rPr>
        <w:t>45</w:t>
      </w:r>
      <w:r w:rsidRPr="00D36AFD">
        <w:rPr>
          <w:rFonts w:ascii="Times New Roman" w:eastAsia="Times New Roman" w:hAnsi="Times New Roman" w:cs="Times New Roman"/>
          <w:color w:val="000000"/>
          <w:sz w:val="24"/>
          <w:szCs w:val="24"/>
        </w:rPr>
        <w:t>.</w:t>
      </w:r>
    </w:p>
    <w:p w14:paraId="29BCC650"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Session 2: System conceptualization: All variables that participants will consider important, feasible, and measurable will be arranged around a circle on a whiteboard. Participants will then identify connections between two or more variables. The participants will also specify the direction of causation and the nature of relationships (positive or negative) between them.  To develop the causal loops diagrams, primary data from qualitative interviews will be collected around various variables like the key stakeholders, kind of interactions among stakeholders, influences on</w:t>
      </w:r>
      <w:r w:rsidRPr="00D36AFD">
        <w:t xml:space="preserve"> </w:t>
      </w:r>
      <w:r w:rsidRPr="00D36AFD">
        <w:rPr>
          <w:rFonts w:ascii="Times New Roman" w:eastAsia="Times New Roman" w:hAnsi="Times New Roman" w:cs="Times New Roman"/>
          <w:color w:val="000000"/>
          <w:sz w:val="24"/>
          <w:szCs w:val="24"/>
        </w:rPr>
        <w:t>stakeholder decisions</w:t>
      </w:r>
      <w:r w:rsidRPr="00D36AFD">
        <w:t xml:space="preserve"> </w:t>
      </w:r>
      <w:r w:rsidRPr="00D36AFD">
        <w:rPr>
          <w:rFonts w:ascii="Times New Roman" w:eastAsia="Times New Roman" w:hAnsi="Times New Roman" w:cs="Times New Roman"/>
          <w:color w:val="000000"/>
          <w:sz w:val="24"/>
          <w:szCs w:val="24"/>
        </w:rPr>
        <w:t>and threats and opportunities to the policy development process.</w:t>
      </w:r>
    </w:p>
    <w:p w14:paraId="4A10A13C"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lastRenderedPageBreak/>
        <w:t xml:space="preserve">Session 3: Model formulation using causal loops diagrams (CLDs) and stock and flow diagrams (SFD): Development of causal loops diagrams will be performed simultaneously with the process of listing and reviewing variables in the connecting circles. This will be done using Vensim/STELLA software to help participants visualise connections between variables and identify feedback loops. The CLDs will aid the understanding of interrelationships within the system and the cause-effect linkages for the problem. </w:t>
      </w:r>
    </w:p>
    <w:p w14:paraId="7B066125"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Session 4: Stock and flow diagram will be developed to show the system's behaviour on the selected variables of interest: The development of the stock and flow diagrams will incorporate the datasets sourced in the three </w:t>
      </w:r>
      <w:proofErr w:type="gramStart"/>
      <w:r w:rsidRPr="00D36AFD">
        <w:rPr>
          <w:rFonts w:ascii="Times New Roman" w:eastAsia="Times New Roman" w:hAnsi="Times New Roman" w:cs="Times New Roman"/>
          <w:color w:val="000000"/>
          <w:sz w:val="24"/>
          <w:szCs w:val="24"/>
        </w:rPr>
        <w:t>aforementioned ways</w:t>
      </w:r>
      <w:proofErr w:type="gramEnd"/>
      <w:r w:rsidRPr="00D36AFD">
        <w:rPr>
          <w:rFonts w:ascii="Times New Roman" w:eastAsia="Times New Roman" w:hAnsi="Times New Roman" w:cs="Times New Roman"/>
          <w:color w:val="000000"/>
          <w:sz w:val="24"/>
          <w:szCs w:val="24"/>
        </w:rPr>
        <w:t xml:space="preserve">. Causes and consequences variables will be </w:t>
      </w:r>
      <w:proofErr w:type="gramStart"/>
      <w:r w:rsidRPr="00D36AFD">
        <w:rPr>
          <w:rFonts w:ascii="Times New Roman" w:eastAsia="Times New Roman" w:hAnsi="Times New Roman" w:cs="Times New Roman"/>
          <w:color w:val="000000"/>
          <w:sz w:val="24"/>
          <w:szCs w:val="24"/>
        </w:rPr>
        <w:t>identified</w:t>
      </w:r>
      <w:proofErr w:type="gramEnd"/>
      <w:r w:rsidRPr="00D36AFD">
        <w:rPr>
          <w:rFonts w:ascii="Times New Roman" w:eastAsia="Times New Roman" w:hAnsi="Times New Roman" w:cs="Times New Roman"/>
          <w:color w:val="000000"/>
          <w:sz w:val="24"/>
          <w:szCs w:val="24"/>
        </w:rPr>
        <w:t xml:space="preserve"> and a graph will be developed, comprising time on the horizontal (x-axis) and the variable on the vertical (y-axis) to illustrate how that variable will change over time and what may happen to it in the future</w:t>
      </w:r>
      <w:r w:rsidRPr="00D36AFD">
        <w:rPr>
          <w:rFonts w:ascii="Times New Roman" w:eastAsia="Times New Roman" w:hAnsi="Times New Roman" w:cs="Times New Roman"/>
          <w:color w:val="000000"/>
          <w:sz w:val="24"/>
          <w:szCs w:val="24"/>
          <w:vertAlign w:val="superscript"/>
        </w:rPr>
        <w:t>46</w:t>
      </w:r>
    </w:p>
    <w:p w14:paraId="3EC9CD4A"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Session 5: Model</w:t>
      </w:r>
      <w:r w:rsidRPr="00D36AFD">
        <w:t xml:space="preserve"> </w:t>
      </w:r>
      <w:r w:rsidRPr="00D36AFD">
        <w:rPr>
          <w:rFonts w:ascii="Times New Roman" w:eastAsia="Times New Roman" w:hAnsi="Times New Roman" w:cs="Times New Roman"/>
          <w:color w:val="000000"/>
          <w:sz w:val="24"/>
          <w:szCs w:val="24"/>
        </w:rPr>
        <w:t>validation: A validation workshop will be conducted where researchers will validate the connections with participants by discussing each variable name and description and the direction of linkages with them to ensure the right meaning has been fully captured. To fully map the variables, participants will be encouraged to add or refine variables.</w:t>
      </w:r>
    </w:p>
    <w:p w14:paraId="5ED56BAB"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Session 6: Action plan: After having time to think about and review the diagrams, participants will be invited to a final session where they will identify as many action ideas as they can that will improve the implementation of food policies by</w:t>
      </w:r>
      <w:r w:rsidRPr="00D36AFD">
        <w:t xml:space="preserve"> </w:t>
      </w:r>
      <w:r w:rsidRPr="00D36AFD">
        <w:rPr>
          <w:rFonts w:ascii="Times New Roman" w:eastAsia="Times New Roman" w:hAnsi="Times New Roman" w:cs="Times New Roman"/>
          <w:color w:val="000000"/>
          <w:sz w:val="24"/>
          <w:szCs w:val="24"/>
        </w:rPr>
        <w:t>creating the wall of evidence script</w:t>
      </w:r>
      <w:r w:rsidRPr="00D36AFD">
        <w:rPr>
          <w:rFonts w:ascii="Times New Roman" w:eastAsia="Times New Roman" w:hAnsi="Times New Roman" w:cs="Times New Roman"/>
          <w:color w:val="000000"/>
          <w:sz w:val="24"/>
          <w:szCs w:val="24"/>
          <w:vertAlign w:val="superscript"/>
        </w:rPr>
        <w:t>45</w:t>
      </w:r>
      <w:r w:rsidRPr="00D36AFD">
        <w:rPr>
          <w:rFonts w:ascii="Times New Roman" w:eastAsia="Times New Roman" w:hAnsi="Times New Roman" w:cs="Times New Roman"/>
          <w:color w:val="000000"/>
          <w:sz w:val="24"/>
          <w:szCs w:val="24"/>
        </w:rPr>
        <w:t>.</w:t>
      </w:r>
    </w:p>
    <w:p w14:paraId="3C906C84"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Note-takers will capture the discussions and participants will place feedback directly on the CLDs using sticky labels. The action ideas shared by participants will be collated and presented to the team, where additional ideas will be added until an agreement has been reached on feasible actions likely to make a difference.</w:t>
      </w:r>
    </w:p>
    <w:p w14:paraId="0B9FE54A"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The systems dynamic modelling data will be analysed after each session thematically. Data outputs will include connection circles, CLDs, stock and flow diagrams, change-over-time graphs, prioritised action ideas, an action plan that will be captured during the sessions through audio files, notes, photos and documented. The model will identify causal relationships, feedback loops, delays, and other challenges to the process of developing and implementing food policymaking. One product of the process is a causal loop diagram (CLD), which provides a logic model of a problem's complex drivers and</w:t>
      </w:r>
      <w:r w:rsidRPr="00D36AFD">
        <w:t xml:space="preserve"> </w:t>
      </w:r>
      <w:r w:rsidRPr="00D36AFD">
        <w:rPr>
          <w:rFonts w:ascii="Times New Roman" w:eastAsia="Times New Roman" w:hAnsi="Times New Roman" w:cs="Times New Roman"/>
          <w:color w:val="000000"/>
          <w:sz w:val="24"/>
          <w:szCs w:val="24"/>
        </w:rPr>
        <w:t>can be used to design further strategies to improve policy making in government organisations.</w:t>
      </w:r>
    </w:p>
    <w:p w14:paraId="102BF97D" w14:textId="77777777" w:rsidR="00940635" w:rsidRPr="00D36AFD" w:rsidRDefault="00081B51">
      <w:pPr>
        <w:spacing w:line="360" w:lineRule="auto"/>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lastRenderedPageBreak/>
        <w:t xml:space="preserve">A System Dynamics model interface will be developed, with a story telling sequence that demonstrates the unfolding model structure and the implications to the four policies. After building the interface, it will be deployed on the web so that anyone can access it using a web </w:t>
      </w:r>
      <w:proofErr w:type="gramStart"/>
      <w:r w:rsidRPr="00D36AFD">
        <w:rPr>
          <w:rFonts w:ascii="Times New Roman" w:eastAsia="Times New Roman" w:hAnsi="Times New Roman" w:cs="Times New Roman"/>
          <w:color w:val="000000"/>
          <w:sz w:val="24"/>
          <w:szCs w:val="24"/>
        </w:rPr>
        <w:t>browser</w:t>
      </w:r>
      <w:proofErr w:type="gramEnd"/>
    </w:p>
    <w:p w14:paraId="020EED55" w14:textId="77777777" w:rsidR="00940635" w:rsidRPr="00D36AFD" w:rsidRDefault="00081B51">
      <w:pPr>
        <w:pBdr>
          <w:top w:val="nil"/>
          <w:left w:val="nil"/>
          <w:bottom w:val="nil"/>
          <w:right w:val="nil"/>
          <w:between w:val="nil"/>
        </w:pBdr>
        <w:spacing w:after="0" w:line="360" w:lineRule="auto"/>
        <w:jc w:val="both"/>
        <w:rPr>
          <w:rFonts w:ascii="Times New Roman" w:eastAsia="Times New Roman" w:hAnsi="Times New Roman" w:cs="Times New Roman"/>
          <w:i/>
          <w:color w:val="000000"/>
          <w:sz w:val="24"/>
          <w:szCs w:val="24"/>
          <w:u w:val="single"/>
        </w:rPr>
      </w:pPr>
      <w:r w:rsidRPr="00D36AFD">
        <w:rPr>
          <w:rFonts w:ascii="Times New Roman" w:eastAsia="Times New Roman" w:hAnsi="Times New Roman" w:cs="Times New Roman"/>
          <w:i/>
          <w:color w:val="000000"/>
          <w:sz w:val="24"/>
          <w:szCs w:val="24"/>
          <w:u w:val="single"/>
        </w:rPr>
        <w:t>6-Determine what approaches are needed to address gender and other inequity in the food system.</w:t>
      </w:r>
    </w:p>
    <w:p w14:paraId="11B37CD8" w14:textId="77777777" w:rsidR="00940635" w:rsidRPr="00D36AFD" w:rsidRDefault="00081B51">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Participants of the policy bundle working group will evaluate their policy component to identify, understand and tease out gender differences and how gender roles and power dynamics may impact women and men differently. We shall qualitatively interview 12 key informant participants from all the policy development groups to draw out their perspectives on potential equity gaps along the policy development process and the potential mechanisms to mitigate these. A gender consultant will guide this process on behalf of the project team.</w:t>
      </w:r>
    </w:p>
    <w:p w14:paraId="2DC92F55" w14:textId="77777777" w:rsidR="00940635" w:rsidRPr="00D36AFD" w:rsidRDefault="00940635">
      <w:pPr>
        <w:spacing w:line="360" w:lineRule="auto"/>
        <w:jc w:val="both"/>
        <w:rPr>
          <w:rFonts w:ascii="Times New Roman" w:eastAsia="Times New Roman" w:hAnsi="Times New Roman" w:cs="Times New Roman"/>
          <w:color w:val="000000"/>
          <w:sz w:val="24"/>
          <w:szCs w:val="24"/>
        </w:rPr>
      </w:pPr>
    </w:p>
    <w:p w14:paraId="1A299797" w14:textId="77777777" w:rsidR="00940635" w:rsidRPr="00D36AFD" w:rsidRDefault="00081B51">
      <w:pPr>
        <w:pStyle w:val="Heading2"/>
      </w:pPr>
      <w:bookmarkStart w:id="15" w:name="_heading=h.3rdcrjn" w:colFirst="0" w:colLast="0"/>
      <w:bookmarkEnd w:id="15"/>
      <w:r w:rsidRPr="00D36AFD">
        <w:t>Study Setting</w:t>
      </w:r>
    </w:p>
    <w:p w14:paraId="48A928D0"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This study is set within an ongoing</w:t>
      </w:r>
      <w:r w:rsidRPr="00D36AFD">
        <w:t xml:space="preserve"> </w:t>
      </w:r>
      <w:proofErr w:type="gramStart"/>
      <w:r w:rsidRPr="00D36AFD">
        <w:rPr>
          <w:rFonts w:ascii="Times New Roman" w:eastAsia="Times New Roman" w:hAnsi="Times New Roman" w:cs="Times New Roman"/>
          <w:color w:val="000000"/>
          <w:sz w:val="24"/>
          <w:szCs w:val="24"/>
        </w:rPr>
        <w:t>policy-making</w:t>
      </w:r>
      <w:proofErr w:type="gramEnd"/>
      <w:r w:rsidRPr="00D36AFD">
        <w:rPr>
          <w:rFonts w:ascii="Times New Roman" w:eastAsia="Times New Roman" w:hAnsi="Times New Roman" w:cs="Times New Roman"/>
          <w:color w:val="000000"/>
          <w:sz w:val="24"/>
          <w:szCs w:val="24"/>
        </w:rPr>
        <w:t xml:space="preserve"> and policy engagement process in Kenya.  This process is informed by the local situation analysis regarding the extent to which the government of Kenya is undertaking steps to develop food environment policies and the existing policy windows. It includes interrelated work packages that involve the establishment of a coalition of public, private, and social sector stakeholders, the development of a double duty policy bundle, and the research component within the implementation of these work packages already mentioned.</w:t>
      </w:r>
    </w:p>
    <w:p w14:paraId="1C8F8CCE"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All the study objectives will be carried out within the development of a double duty policy bundle work package described below</w:t>
      </w:r>
      <w:r w:rsidRPr="00D36AFD">
        <w:t xml:space="preserve">. </w:t>
      </w:r>
      <w:r w:rsidRPr="00D36AFD">
        <w:rPr>
          <w:rFonts w:ascii="Times New Roman" w:eastAsia="Times New Roman" w:hAnsi="Times New Roman" w:cs="Times New Roman"/>
          <w:color w:val="000000"/>
          <w:sz w:val="24"/>
          <w:szCs w:val="24"/>
        </w:rPr>
        <w:t>Figure 2 below summarizes how the main work packages and the activities are interrelated.</w:t>
      </w:r>
    </w:p>
    <w:p w14:paraId="4A197B20" w14:textId="77777777" w:rsidR="00940635" w:rsidRPr="00D36AFD" w:rsidRDefault="00081B51">
      <w:pPr>
        <w:spacing w:line="360" w:lineRule="auto"/>
        <w:jc w:val="both"/>
        <w:rPr>
          <w:rFonts w:ascii="Times New Roman" w:eastAsia="Times New Roman" w:hAnsi="Times New Roman" w:cs="Times New Roman"/>
          <w:i/>
          <w:color w:val="000000"/>
          <w:sz w:val="24"/>
          <w:szCs w:val="24"/>
        </w:rPr>
      </w:pPr>
      <w:r w:rsidRPr="00D36AFD">
        <w:rPr>
          <w:rFonts w:ascii="Times New Roman" w:eastAsia="Times New Roman" w:hAnsi="Times New Roman" w:cs="Times New Roman"/>
          <w:noProof/>
          <w:color w:val="000000"/>
          <w:sz w:val="24"/>
          <w:szCs w:val="24"/>
          <w:lang w:eastAsia="en-GB"/>
        </w:rPr>
        <w:lastRenderedPageBreak/>
        <w:drawing>
          <wp:inline distT="0" distB="0" distL="0" distR="0" wp14:anchorId="2C8C3C39" wp14:editId="1AEF2E00">
            <wp:extent cx="5731510" cy="2475230"/>
            <wp:effectExtent l="0" t="0" r="0" b="0"/>
            <wp:docPr id="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731510" cy="2475230"/>
                    </a:xfrm>
                    <a:prstGeom prst="rect">
                      <a:avLst/>
                    </a:prstGeom>
                    <a:ln/>
                  </pic:spPr>
                </pic:pic>
              </a:graphicData>
            </a:graphic>
          </wp:inline>
        </w:drawing>
      </w:r>
    </w:p>
    <w:p w14:paraId="4E954E9E" w14:textId="77777777" w:rsidR="00940635" w:rsidRPr="00D36AFD" w:rsidRDefault="00081B51">
      <w:pPr>
        <w:spacing w:line="360" w:lineRule="auto"/>
        <w:jc w:val="both"/>
        <w:rPr>
          <w:rFonts w:ascii="Times New Roman" w:eastAsia="Times New Roman" w:hAnsi="Times New Roman" w:cs="Times New Roman"/>
          <w:i/>
          <w:color w:val="000000"/>
          <w:sz w:val="24"/>
          <w:szCs w:val="24"/>
        </w:rPr>
      </w:pPr>
      <w:r w:rsidRPr="00D36AFD">
        <w:rPr>
          <w:rFonts w:ascii="Times New Roman" w:eastAsia="Times New Roman" w:hAnsi="Times New Roman" w:cs="Times New Roman"/>
          <w:i/>
          <w:color w:val="000000"/>
          <w:sz w:val="24"/>
          <w:szCs w:val="24"/>
        </w:rPr>
        <w:t>Figure 2: An overview of the work packages and sub-packages</w:t>
      </w:r>
    </w:p>
    <w:p w14:paraId="50F5F4FD" w14:textId="77777777" w:rsidR="00940635" w:rsidRPr="00D36AFD" w:rsidRDefault="00081B51">
      <w:pPr>
        <w:spacing w:line="360" w:lineRule="auto"/>
        <w:jc w:val="both"/>
        <w:rPr>
          <w:rFonts w:ascii="Times New Roman" w:eastAsia="Times New Roman" w:hAnsi="Times New Roman" w:cs="Times New Roman"/>
          <w:b/>
          <w:color w:val="000000"/>
          <w:sz w:val="24"/>
          <w:szCs w:val="24"/>
        </w:rPr>
      </w:pPr>
      <w:r w:rsidRPr="00D36AFD">
        <w:rPr>
          <w:rFonts w:ascii="Times New Roman" w:eastAsia="Times New Roman" w:hAnsi="Times New Roman" w:cs="Times New Roman"/>
          <w:b/>
          <w:color w:val="000000"/>
          <w:sz w:val="24"/>
          <w:szCs w:val="24"/>
        </w:rPr>
        <w:t>Our approach to the policy development process</w:t>
      </w:r>
    </w:p>
    <w:p w14:paraId="06C475D7"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We have put in place a coalition of partners for FEP-Action to follow the four steps for policy development outlined above. To ensure optimal exchange of information and coordination among partners, we have developed a governance structure including a technical committee (TC) for each of the four policies in the bundle, and taskforce at the policy bundle level. Competent members of the task force will be provided with a formal appointment to lead the policy development by the Ministry of Health. They will meet regularly to develop the policies. The activities for the four policies will be undertaken concurrently, led by a consultant. </w:t>
      </w:r>
    </w:p>
    <w:p w14:paraId="39E96A1C"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Similar approaches will be used for each policy domain in the proposed bundle but the pace of developing these policies will differ because the status and policy windows for each of the policy domains vary in Kenya. In this study, the completion of the NPM is key as it will provide critical inputs to the policy bundles undergoing the policy review steps mentioned above.  Whereas progress has been made in the development of policies</w:t>
      </w:r>
      <w:r w:rsidRPr="00D36AFD">
        <w:rPr>
          <w:rFonts w:ascii="Times New Roman" w:eastAsia="Times New Roman" w:hAnsi="Times New Roman" w:cs="Times New Roman"/>
          <w:sz w:val="24"/>
          <w:szCs w:val="24"/>
        </w:rPr>
        <w:t xml:space="preserve"> </w:t>
      </w:r>
      <w:r w:rsidRPr="00D36AFD">
        <w:rPr>
          <w:rFonts w:ascii="Times New Roman" w:eastAsia="Times New Roman" w:hAnsi="Times New Roman" w:cs="Times New Roman"/>
          <w:color w:val="000000"/>
          <w:sz w:val="24"/>
          <w:szCs w:val="24"/>
        </w:rPr>
        <w:t xml:space="preserve">for front-of-pack labelling and public procurement for schools, little or no progress has been made for marketing restrictions and fiscal policies.  However, moving the pace at which these policies will be developed will be dependent on </w:t>
      </w:r>
      <w:proofErr w:type="gramStart"/>
      <w:r w:rsidRPr="00D36AFD">
        <w:rPr>
          <w:rFonts w:ascii="Times New Roman" w:eastAsia="Times New Roman" w:hAnsi="Times New Roman" w:cs="Times New Roman"/>
          <w:color w:val="000000"/>
          <w:sz w:val="24"/>
          <w:szCs w:val="24"/>
        </w:rPr>
        <w:t>a number of</w:t>
      </w:r>
      <w:proofErr w:type="gramEnd"/>
      <w:r w:rsidRPr="00D36AFD">
        <w:rPr>
          <w:rFonts w:ascii="Times New Roman" w:eastAsia="Times New Roman" w:hAnsi="Times New Roman" w:cs="Times New Roman"/>
          <w:color w:val="000000"/>
          <w:sz w:val="24"/>
          <w:szCs w:val="24"/>
        </w:rPr>
        <w:t xml:space="preserve"> factors that will be identified by our research process. d.  In all four policies, we will explore the possibility of including sustainability indicators and ensure gender-sensitive policies are developed. A gender consultant will be hired to support the gender aspect. </w:t>
      </w:r>
    </w:p>
    <w:p w14:paraId="4A988611" w14:textId="77777777" w:rsidR="00940635" w:rsidRPr="00D36AFD" w:rsidRDefault="00081B51">
      <w:pPr>
        <w:pStyle w:val="Heading2"/>
      </w:pPr>
      <w:bookmarkStart w:id="16" w:name="_heading=h.26in1rg" w:colFirst="0" w:colLast="0"/>
      <w:bookmarkEnd w:id="16"/>
      <w:r w:rsidRPr="00D36AFD">
        <w:t>Data collection processes</w:t>
      </w:r>
    </w:p>
    <w:p w14:paraId="585C2878" w14:textId="77777777" w:rsidR="00940635" w:rsidRPr="00D36AFD" w:rsidRDefault="00081B51">
      <w:pPr>
        <w:spacing w:after="120" w:line="360" w:lineRule="auto"/>
        <w:jc w:val="both"/>
        <w:rPr>
          <w:rFonts w:ascii="Times New Roman" w:eastAsia="Times New Roman" w:hAnsi="Times New Roman" w:cs="Times New Roman"/>
          <w:b/>
          <w:i/>
          <w:color w:val="000000"/>
          <w:sz w:val="24"/>
          <w:szCs w:val="24"/>
        </w:rPr>
      </w:pPr>
      <w:r w:rsidRPr="00D36AFD">
        <w:rPr>
          <w:rFonts w:ascii="Times New Roman" w:eastAsia="Times New Roman" w:hAnsi="Times New Roman" w:cs="Times New Roman"/>
          <w:b/>
          <w:i/>
          <w:color w:val="000000"/>
          <w:sz w:val="24"/>
          <w:szCs w:val="24"/>
        </w:rPr>
        <w:t>Training of data collection assistants</w:t>
      </w:r>
    </w:p>
    <w:p w14:paraId="62896BD1" w14:textId="77777777" w:rsidR="00940635" w:rsidRPr="00D36AFD" w:rsidRDefault="00081B51">
      <w:pPr>
        <w:spacing w:after="12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lastRenderedPageBreak/>
        <w:t xml:space="preserve">Qualitative data collection will be carried out by research officers in the study team assisted by interviewers with college-level education in a relevant or related field, with experience in conducting qualitative interviews. They will also be required to have previous experience in data collection </w:t>
      </w:r>
      <w:proofErr w:type="gramStart"/>
      <w:r w:rsidRPr="00D36AFD">
        <w:rPr>
          <w:rFonts w:ascii="Times New Roman" w:eastAsia="Times New Roman" w:hAnsi="Times New Roman" w:cs="Times New Roman"/>
          <w:color w:val="000000"/>
          <w:sz w:val="24"/>
          <w:szCs w:val="24"/>
        </w:rPr>
        <w:t>in the area of</w:t>
      </w:r>
      <w:proofErr w:type="gramEnd"/>
      <w:r w:rsidRPr="00D36AFD">
        <w:rPr>
          <w:rFonts w:ascii="Times New Roman" w:eastAsia="Times New Roman" w:hAnsi="Times New Roman" w:cs="Times New Roman"/>
          <w:color w:val="000000"/>
          <w:sz w:val="24"/>
          <w:szCs w:val="24"/>
        </w:rPr>
        <w:t xml:space="preserve"> interest. Quantitative data will be collected by </w:t>
      </w:r>
      <w:proofErr w:type="gramStart"/>
      <w:r w:rsidRPr="00D36AFD">
        <w:rPr>
          <w:rFonts w:ascii="Times New Roman" w:eastAsia="Times New Roman" w:hAnsi="Times New Roman" w:cs="Times New Roman"/>
          <w:color w:val="000000"/>
          <w:sz w:val="24"/>
          <w:szCs w:val="24"/>
        </w:rPr>
        <w:t>carefully-trained</w:t>
      </w:r>
      <w:proofErr w:type="gramEnd"/>
      <w:r w:rsidRPr="00D36AFD">
        <w:rPr>
          <w:rFonts w:ascii="Times New Roman" w:eastAsia="Times New Roman" w:hAnsi="Times New Roman" w:cs="Times New Roman"/>
          <w:color w:val="000000"/>
          <w:sz w:val="24"/>
          <w:szCs w:val="24"/>
        </w:rPr>
        <w:t xml:space="preserve"> field workers. Additionally, a field supervisor/quality assurance monitor, who will coordinate some of the fieldwork and ensure the quality of data through spot checks and editing of the collected data, will be recruited. S/he will be expected to have college-level education in a relevant or related field. All field workers (for both qualitative and quantitative data collection), and field supervisor/quality assurance monitor will be expected to be fluent in both English and Kiswahili. A research officer in the project team will oversee the data collection activities.</w:t>
      </w:r>
    </w:p>
    <w:p w14:paraId="4CFA242A" w14:textId="77777777" w:rsidR="00940635" w:rsidRPr="00D36AFD" w:rsidRDefault="00081B51">
      <w:pPr>
        <w:spacing w:after="12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After recruitment, data collectors will be trained in line with the APHRC’s standards. The research team will conduct a one-week training on ethical issues, the study and its objectives, data collection tools, and procedures, and data quality.  This training will be both informative and problem-solving based. </w:t>
      </w:r>
    </w:p>
    <w:p w14:paraId="334A4709" w14:textId="77777777" w:rsidR="00940635" w:rsidRPr="00D36AFD" w:rsidRDefault="00081B51">
      <w:pPr>
        <w:spacing w:after="120" w:line="360" w:lineRule="auto"/>
        <w:jc w:val="both"/>
        <w:rPr>
          <w:rFonts w:ascii="Times New Roman" w:eastAsia="Times New Roman" w:hAnsi="Times New Roman" w:cs="Times New Roman"/>
          <w:b/>
          <w:i/>
          <w:color w:val="000000"/>
          <w:sz w:val="24"/>
          <w:szCs w:val="24"/>
        </w:rPr>
      </w:pPr>
      <w:r w:rsidRPr="00D36AFD">
        <w:rPr>
          <w:rFonts w:ascii="Times New Roman" w:eastAsia="Times New Roman" w:hAnsi="Times New Roman" w:cs="Times New Roman"/>
          <w:b/>
          <w:i/>
          <w:color w:val="000000"/>
          <w:sz w:val="24"/>
          <w:szCs w:val="24"/>
        </w:rPr>
        <w:t>Data collection</w:t>
      </w:r>
    </w:p>
    <w:p w14:paraId="4393EDB3" w14:textId="77777777" w:rsidR="00940635" w:rsidRPr="00D36AFD" w:rsidRDefault="00081B51">
      <w:pPr>
        <w:numPr>
          <w:ilvl w:val="0"/>
          <w:numId w:val="7"/>
        </w:numPr>
        <w:pBdr>
          <w:top w:val="nil"/>
          <w:left w:val="nil"/>
          <w:bottom w:val="nil"/>
          <w:right w:val="nil"/>
          <w:between w:val="nil"/>
        </w:pBdr>
        <w:spacing w:after="120" w:line="360" w:lineRule="auto"/>
        <w:jc w:val="both"/>
        <w:rPr>
          <w:rFonts w:ascii="Times New Roman" w:eastAsia="Times New Roman" w:hAnsi="Times New Roman" w:cs="Times New Roman"/>
          <w:b/>
          <w:i/>
          <w:color w:val="000000"/>
          <w:sz w:val="24"/>
          <w:szCs w:val="24"/>
        </w:rPr>
      </w:pPr>
      <w:r w:rsidRPr="00D36AFD">
        <w:rPr>
          <w:rFonts w:ascii="Times New Roman" w:eastAsia="Times New Roman" w:hAnsi="Times New Roman" w:cs="Times New Roman"/>
          <w:b/>
          <w:i/>
          <w:color w:val="000000"/>
          <w:sz w:val="24"/>
          <w:szCs w:val="24"/>
        </w:rPr>
        <w:t>Quantitative methods</w:t>
      </w:r>
    </w:p>
    <w:p w14:paraId="1D12C62B" w14:textId="77777777" w:rsidR="00940635" w:rsidRPr="00D36AFD" w:rsidRDefault="00081B51">
      <w:pPr>
        <w:spacing w:after="12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Participants in the FoPL evaluation will be interviewed using a mobile phone-based application, Survey CTO. Participants in the NPM evaluation will be convened virtually and issued an online-based survey using Survey Monkey. These respondents will be followed up with a phone call to enhance their participation in the study. </w:t>
      </w:r>
      <w:r w:rsidRPr="00D36AFD">
        <w:rPr>
          <w:rFonts w:ascii="Times New Roman" w:eastAsia="Times New Roman" w:hAnsi="Times New Roman" w:cs="Times New Roman"/>
          <w:color w:val="000000"/>
          <w:sz w:val="24"/>
          <w:szCs w:val="24"/>
        </w:rPr>
        <w:br/>
        <w:t>In both scenarios, participants will be selected as per the prescribed criteria of those participating in the FoPL and NPM evaluations. Data collected via mobile phones will be uploaded to the APHRC data server through internet connectivity while data collected through online means will be captured in an online database once the participant has completed and submitted the survey. Research assistants will confirm that the online participants’ forms have been captured by way of confirming their issued identity in the database.</w:t>
      </w:r>
    </w:p>
    <w:p w14:paraId="744926CD" w14:textId="77777777" w:rsidR="00940635" w:rsidRPr="00D36AFD" w:rsidRDefault="00081B51">
      <w:pPr>
        <w:numPr>
          <w:ilvl w:val="0"/>
          <w:numId w:val="8"/>
        </w:numPr>
        <w:pBdr>
          <w:top w:val="nil"/>
          <w:left w:val="nil"/>
          <w:bottom w:val="nil"/>
          <w:right w:val="nil"/>
          <w:between w:val="nil"/>
        </w:pBdr>
        <w:spacing w:after="120" w:line="360" w:lineRule="auto"/>
        <w:jc w:val="both"/>
        <w:rPr>
          <w:rFonts w:ascii="Times New Roman" w:eastAsia="Times New Roman" w:hAnsi="Times New Roman" w:cs="Times New Roman"/>
          <w:b/>
          <w:i/>
          <w:color w:val="000000"/>
          <w:sz w:val="24"/>
          <w:szCs w:val="24"/>
        </w:rPr>
      </w:pPr>
      <w:r w:rsidRPr="00D36AFD">
        <w:rPr>
          <w:rFonts w:ascii="Times New Roman" w:eastAsia="Times New Roman" w:hAnsi="Times New Roman" w:cs="Times New Roman"/>
          <w:b/>
          <w:i/>
          <w:color w:val="000000"/>
          <w:sz w:val="24"/>
          <w:szCs w:val="24"/>
        </w:rPr>
        <w:t>Qualitative methods</w:t>
      </w:r>
    </w:p>
    <w:p w14:paraId="356275BE" w14:textId="77777777" w:rsidR="00940635" w:rsidRPr="00D36AFD" w:rsidRDefault="00081B51">
      <w:pPr>
        <w:spacing w:after="120" w:line="360" w:lineRule="auto"/>
        <w:jc w:val="both"/>
        <w:rPr>
          <w:rFonts w:ascii="Times New Roman" w:eastAsia="Times New Roman" w:hAnsi="Times New Roman" w:cs="Times New Roman"/>
          <w:b/>
          <w:i/>
          <w:color w:val="000000"/>
          <w:sz w:val="24"/>
          <w:szCs w:val="24"/>
        </w:rPr>
      </w:pPr>
      <w:r w:rsidRPr="00D36AFD">
        <w:rPr>
          <w:rFonts w:ascii="Times New Roman" w:eastAsia="Times New Roman" w:hAnsi="Times New Roman" w:cs="Times New Roman"/>
          <w:color w:val="000000"/>
          <w:sz w:val="24"/>
          <w:szCs w:val="24"/>
        </w:rPr>
        <w:t xml:space="preserve">We will conduct KIIs, IDIs, and FGDs with consumers, policy development stakeholders participating in the policy-making process at different times and phases in line with the methods stipulated previously.  Two interviewers will conduct each interview: the moderator will facilitate the session while the note taker will take notes of the discussion and operate the audio recorder. All interviews will be conducted in the most preferred language of the </w:t>
      </w:r>
      <w:r w:rsidRPr="00D36AFD">
        <w:rPr>
          <w:rFonts w:ascii="Times New Roman" w:eastAsia="Times New Roman" w:hAnsi="Times New Roman" w:cs="Times New Roman"/>
          <w:color w:val="000000"/>
          <w:sz w:val="24"/>
          <w:szCs w:val="24"/>
        </w:rPr>
        <w:lastRenderedPageBreak/>
        <w:t>respondents (English or Kiswahili). The number of qualitative interviews will be determined by the data saturation point.</w:t>
      </w:r>
    </w:p>
    <w:p w14:paraId="1D4BC9D3" w14:textId="77777777" w:rsidR="00940635" w:rsidRPr="00D36AFD" w:rsidRDefault="00081B51">
      <w:pPr>
        <w:pStyle w:val="Heading2"/>
      </w:pPr>
      <w:bookmarkStart w:id="17" w:name="_heading=h.lnxbz9" w:colFirst="0" w:colLast="0"/>
      <w:bookmarkEnd w:id="17"/>
      <w:r w:rsidRPr="00D36AFD">
        <w:t>Data management</w:t>
      </w:r>
    </w:p>
    <w:p w14:paraId="7F8A6848" w14:textId="77777777" w:rsidR="00940635" w:rsidRPr="00D36AFD" w:rsidRDefault="00081B51">
      <w:pPr>
        <w:spacing w:after="12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Data collection will be supervised by the trained team leaders and the research team. During fieldwork, data quality for quantitative data will be enhanced by APHRC team leads through regular spot checks and sit-ins to approximately 5-10% of each field worker’s daily work to verify the authenticity of data collected. The field supervisor will certify the quality of the data by editing the data before they are transferred to the database. Data collection will be done electronically using tablets/phones, with spot checks for quality control. Once the data collection is completed, all inconsistencies will be resolved prior to data analysis. An automated routine to check the data completeness, correctness and consistency will also be run on 100% of the collected data. A discrepancy report will then be generated to help in following up on any inconsistencies or errors in the data with the responsible interviewer. </w:t>
      </w:r>
    </w:p>
    <w:p w14:paraId="7BCFA10B" w14:textId="77777777" w:rsidR="00940635" w:rsidRPr="00D36AFD" w:rsidRDefault="00081B51">
      <w:pPr>
        <w:spacing w:after="120" w:line="360" w:lineRule="auto"/>
        <w:jc w:val="both"/>
        <w:rPr>
          <w:rFonts w:ascii="Times New Roman" w:eastAsia="Times New Roman" w:hAnsi="Times New Roman" w:cs="Times New Roman"/>
          <w:color w:val="000000"/>
          <w:sz w:val="24"/>
          <w:szCs w:val="24"/>
        </w:rPr>
      </w:pPr>
      <w:bookmarkStart w:id="18" w:name="_heading=h.35nkun2" w:colFirst="0" w:colLast="0"/>
      <w:bookmarkEnd w:id="18"/>
      <w:r w:rsidRPr="00D36AFD">
        <w:rPr>
          <w:rFonts w:ascii="Times New Roman" w:eastAsia="Times New Roman" w:hAnsi="Times New Roman" w:cs="Times New Roman"/>
          <w:color w:val="000000"/>
          <w:sz w:val="24"/>
          <w:szCs w:val="24"/>
        </w:rPr>
        <w:t>Similarly, the quality of qualitative data will be enhanced through debriefs after the interviews. Further, the research officer will sample the audio files to ensure that information required is being captured. Each interview will be conducted by a moderator, assisted by a note-taker present in the interview together with the respondent. The interviews will be audio-recorded and transcribed verbatim to ensure data capture.</w:t>
      </w:r>
    </w:p>
    <w:p w14:paraId="67620BD2" w14:textId="77777777" w:rsidR="00940635" w:rsidRPr="00D36AFD" w:rsidRDefault="00081B51">
      <w:pPr>
        <w:tabs>
          <w:tab w:val="left" w:pos="360"/>
        </w:tabs>
        <w:spacing w:after="120" w:line="360" w:lineRule="auto"/>
        <w:jc w:val="both"/>
        <w:rPr>
          <w:rFonts w:ascii="Times New Roman" w:eastAsia="Times New Roman" w:hAnsi="Times New Roman" w:cs="Times New Roman"/>
          <w:b/>
          <w:i/>
          <w:color w:val="000000"/>
          <w:sz w:val="24"/>
          <w:szCs w:val="24"/>
        </w:rPr>
      </w:pPr>
      <w:r w:rsidRPr="00D36AFD">
        <w:rPr>
          <w:rFonts w:ascii="Times New Roman" w:eastAsia="Times New Roman" w:hAnsi="Times New Roman" w:cs="Times New Roman"/>
          <w:b/>
          <w:i/>
          <w:color w:val="000000"/>
          <w:sz w:val="24"/>
          <w:szCs w:val="24"/>
        </w:rPr>
        <w:t>Data sharing</w:t>
      </w:r>
    </w:p>
    <w:p w14:paraId="376C55A0" w14:textId="77777777" w:rsidR="00940635" w:rsidRPr="00D36AFD" w:rsidRDefault="00081B51">
      <w:pPr>
        <w:spacing w:after="120" w:line="360" w:lineRule="auto"/>
        <w:ind w:right="83"/>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In line with APHRC’s data sharing policies, the primary data will be made available in a timely manner and in an anonymized, user-friendly format to external users through the online </w:t>
      </w:r>
      <w:hyperlink r:id="rId18">
        <w:r w:rsidRPr="00D36AFD">
          <w:rPr>
            <w:rFonts w:ascii="Times New Roman" w:eastAsia="Times New Roman" w:hAnsi="Times New Roman" w:cs="Times New Roman"/>
            <w:color w:val="000000"/>
            <w:sz w:val="24"/>
            <w:szCs w:val="24"/>
            <w:u w:val="single"/>
          </w:rPr>
          <w:t>APHRC Microdata Portal</w:t>
        </w:r>
      </w:hyperlink>
      <w:r w:rsidRPr="00D36AFD">
        <w:rPr>
          <w:rFonts w:ascii="Times New Roman" w:eastAsia="Times New Roman" w:hAnsi="Times New Roman" w:cs="Times New Roman"/>
          <w:color w:val="000000"/>
          <w:sz w:val="24"/>
          <w:szCs w:val="24"/>
        </w:rPr>
        <w:t xml:space="preserve">. The data will be released to the public domain two years after the release of analytical data sets (i.e. after the finalization of data cleaning). The 24-month embargo will enable the research team to finalize publications addressing core study objectives and allow other interested host organization staff to use the data. Graduate students seeking to use the data for writing their theses and dissertations before the embargo can be given permission to use such data if collaborative partners supervise them or if they are former employees of the APHRC. </w:t>
      </w:r>
    </w:p>
    <w:p w14:paraId="521DA8E6" w14:textId="77777777" w:rsidR="00940635" w:rsidRPr="00D36AFD" w:rsidRDefault="00081B51">
      <w:pPr>
        <w:spacing w:after="120" w:line="360" w:lineRule="auto"/>
        <w:jc w:val="both"/>
        <w:rPr>
          <w:rFonts w:ascii="Times New Roman" w:eastAsia="Times New Roman" w:hAnsi="Times New Roman" w:cs="Times New Roman"/>
          <w:b/>
          <w:i/>
          <w:color w:val="000000"/>
          <w:sz w:val="24"/>
          <w:szCs w:val="24"/>
        </w:rPr>
      </w:pPr>
      <w:r w:rsidRPr="00D36AFD">
        <w:rPr>
          <w:rFonts w:ascii="Times New Roman" w:eastAsia="Times New Roman" w:hAnsi="Times New Roman" w:cs="Times New Roman"/>
          <w:b/>
          <w:i/>
          <w:color w:val="000000"/>
          <w:sz w:val="24"/>
          <w:szCs w:val="24"/>
        </w:rPr>
        <w:t xml:space="preserve">Data storage and destruction </w:t>
      </w:r>
    </w:p>
    <w:p w14:paraId="56E56E39" w14:textId="77777777" w:rsidR="00940635" w:rsidRPr="00D36AFD" w:rsidRDefault="00081B51">
      <w:pPr>
        <w:spacing w:after="12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Data storage and management will be carried out in line with APHRC’s guidelines on data access and sharing. Quantitative data will be kept in a password-protected file in a computer accessed only by the research team. Datasets will be anonymized, documented, and availed for </w:t>
      </w:r>
      <w:r w:rsidRPr="00D36AFD">
        <w:rPr>
          <w:rFonts w:ascii="Times New Roman" w:eastAsia="Times New Roman" w:hAnsi="Times New Roman" w:cs="Times New Roman"/>
          <w:color w:val="000000"/>
          <w:sz w:val="24"/>
          <w:szCs w:val="24"/>
        </w:rPr>
        <w:lastRenderedPageBreak/>
        <w:t xml:space="preserve">public use on the APHRC’s Microdata portal two years after the end of the project. Qualitative data (audio files) will be extracted from the recorders, deleted from the </w:t>
      </w:r>
      <w:proofErr w:type="gramStart"/>
      <w:r w:rsidRPr="00D36AFD">
        <w:rPr>
          <w:rFonts w:ascii="Times New Roman" w:eastAsia="Times New Roman" w:hAnsi="Times New Roman" w:cs="Times New Roman"/>
          <w:color w:val="000000"/>
          <w:sz w:val="24"/>
          <w:szCs w:val="24"/>
        </w:rPr>
        <w:t>recorders</w:t>
      </w:r>
      <w:proofErr w:type="gramEnd"/>
      <w:r w:rsidRPr="00D36AFD">
        <w:rPr>
          <w:rFonts w:ascii="Times New Roman" w:eastAsia="Times New Roman" w:hAnsi="Times New Roman" w:cs="Times New Roman"/>
          <w:color w:val="000000"/>
          <w:sz w:val="24"/>
          <w:szCs w:val="24"/>
        </w:rPr>
        <w:t xml:space="preserve"> and kept in a password-protected file in a computer used and accessed by the research team only. Accompanying notes will be locked in cabinets only accessed by the research team. The resultant transcripts from the audio files will be anonymized, coded into analysis software e.g. NVivo, and availed for public access and use on the APHRC Microdata portal. </w:t>
      </w:r>
    </w:p>
    <w:p w14:paraId="3AC26569" w14:textId="77777777" w:rsidR="00940635" w:rsidRPr="00D36AFD" w:rsidRDefault="00081B51">
      <w:pPr>
        <w:spacing w:after="12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APHRC has fully transitioned from paper-based data collection to electronic data collection, thereby ensuring that there are no data collected on physical forms that would warrant the destruction of physical questionnaires. All electronic data records will be stored on password-protected computers accessible only to the research team.</w:t>
      </w:r>
    </w:p>
    <w:p w14:paraId="4EB94BC7" w14:textId="77777777" w:rsidR="00940635" w:rsidRPr="00D36AFD" w:rsidRDefault="00081B51">
      <w:pPr>
        <w:pStyle w:val="Heading1"/>
      </w:pPr>
      <w:bookmarkStart w:id="19" w:name="_heading=h.44sinio" w:colFirst="0" w:colLast="0"/>
      <w:bookmarkEnd w:id="19"/>
      <w:r w:rsidRPr="00D36AFD">
        <w:t>Ethical Considerations</w:t>
      </w:r>
    </w:p>
    <w:p w14:paraId="359CFAF1" w14:textId="77777777" w:rsidR="00940635" w:rsidRPr="00D36AFD" w:rsidRDefault="00081B51">
      <w:pPr>
        <w:spacing w:after="120" w:line="360" w:lineRule="auto"/>
        <w:jc w:val="both"/>
        <w:rPr>
          <w:rFonts w:ascii="Times New Roman" w:eastAsia="Times New Roman" w:hAnsi="Times New Roman" w:cs="Times New Roman"/>
          <w:color w:val="000000"/>
          <w:sz w:val="24"/>
          <w:szCs w:val="24"/>
        </w:rPr>
      </w:pPr>
      <w:bookmarkStart w:id="20" w:name="_heading=h.2jxsxqh" w:colFirst="0" w:colLast="0"/>
      <w:bookmarkEnd w:id="20"/>
      <w:r w:rsidRPr="00D36AFD">
        <w:rPr>
          <w:rFonts w:ascii="Times New Roman" w:eastAsia="Times New Roman" w:hAnsi="Times New Roman" w:cs="Times New Roman"/>
          <w:color w:val="000000"/>
          <w:sz w:val="24"/>
          <w:szCs w:val="24"/>
        </w:rPr>
        <w:t>The study will be conducted after an internal review by the APHRC’s internal scientific review committee has been completed and ethics approval from AMREF Health’s Ethics and Scientific Review Committee (ESRC) and the National Commission for Science Technology and Innovation (NACOSTI) has been received.  Administrative approvals will be sought in counties where the study will be conducted. The investigators have undergone training regarding the protection of human subjects in research and hold a certificate from the NIH web-based training course on the protection of human participants. They will therefore be cognizant of the fundamental principles regarding research on human participants: respect for persons, beneficence, non-malevolence, and justice. All field workers will also receive training on research ethics. We shall seek informed consent from all study participants. For those who cannot read, the information sheet will be read to them in English or Kiswahili, and they will be asked to provide a thumbprint to signify their consent.</w:t>
      </w:r>
    </w:p>
    <w:p w14:paraId="6253CDBC" w14:textId="77777777" w:rsidR="00940635" w:rsidRPr="00D36AFD" w:rsidRDefault="00081B51">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i/>
          <w:color w:val="000000"/>
          <w:sz w:val="24"/>
          <w:szCs w:val="24"/>
        </w:rPr>
      </w:pPr>
      <w:r w:rsidRPr="00D36AFD">
        <w:rPr>
          <w:rFonts w:ascii="Times New Roman" w:eastAsia="Times New Roman" w:hAnsi="Times New Roman" w:cs="Times New Roman"/>
          <w:b/>
          <w:i/>
          <w:color w:val="000000"/>
          <w:sz w:val="24"/>
          <w:szCs w:val="24"/>
        </w:rPr>
        <w:t xml:space="preserve">Human Subjects Considerations </w:t>
      </w:r>
    </w:p>
    <w:p w14:paraId="44088B80" w14:textId="77777777" w:rsidR="00940635" w:rsidRPr="00D36AFD" w:rsidRDefault="00081B51">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Potential Risks </w:t>
      </w:r>
    </w:p>
    <w:p w14:paraId="16DC7E0D" w14:textId="77777777" w:rsidR="00940635" w:rsidRPr="00D36AFD" w:rsidRDefault="00081B51">
      <w:pPr>
        <w:spacing w:after="12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The investigators expect minimal risk to study participants. The study participants may feel inconvenienced due to loss of time, discomfort of having to answer questions during data collection, or discomfort due to fear of breach of confidentiality regarding the information they will provide. To minimize inconvenience due to time loss, questionnaires will be kept brief, and qualitative interviewees will receive a modest transport compensation of Ksh. 500. As much as possible, interviews will be conducted at the convenience of the respondent and in an area that affords privacy. The contact details of the principal investigator and representative of </w:t>
      </w:r>
      <w:r w:rsidRPr="00D36AFD">
        <w:rPr>
          <w:rFonts w:ascii="Times New Roman" w:eastAsia="Times New Roman" w:hAnsi="Times New Roman" w:cs="Times New Roman"/>
          <w:color w:val="000000"/>
          <w:sz w:val="24"/>
          <w:szCs w:val="24"/>
        </w:rPr>
        <w:lastRenderedPageBreak/>
        <w:t>the Institutional Review Board (IRB) will be included in the information sheet for the participants in case of any concerns.</w:t>
      </w:r>
    </w:p>
    <w:p w14:paraId="23DC7651" w14:textId="77777777" w:rsidR="00940635" w:rsidRPr="00D36AFD" w:rsidRDefault="00081B51">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Potential Benefits </w:t>
      </w:r>
    </w:p>
    <w:p w14:paraId="5BB3C0BD" w14:textId="77777777" w:rsidR="00940635" w:rsidRPr="00D36AFD" w:rsidRDefault="00081B51">
      <w:pPr>
        <w:spacing w:after="12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No individual benefits are anticipated from participation in this study. The proposed study is expected to inform the implementation research, and participants will be duly informed of this. </w:t>
      </w:r>
    </w:p>
    <w:p w14:paraId="19F5FF29" w14:textId="77777777" w:rsidR="00940635" w:rsidRPr="00D36AFD" w:rsidRDefault="00081B51">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i/>
          <w:color w:val="000000"/>
          <w:sz w:val="24"/>
          <w:szCs w:val="24"/>
        </w:rPr>
      </w:pPr>
      <w:r w:rsidRPr="00D36AFD">
        <w:rPr>
          <w:rFonts w:ascii="Times New Roman" w:eastAsia="Times New Roman" w:hAnsi="Times New Roman" w:cs="Times New Roman"/>
          <w:b/>
          <w:i/>
          <w:color w:val="000000"/>
          <w:sz w:val="24"/>
          <w:szCs w:val="24"/>
        </w:rPr>
        <w:t xml:space="preserve">Informed Consent Process </w:t>
      </w:r>
    </w:p>
    <w:p w14:paraId="0D4A7BF9" w14:textId="77777777" w:rsidR="00940635" w:rsidRPr="00D36AFD" w:rsidRDefault="00081B51">
      <w:pPr>
        <w:spacing w:after="12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Informed consent will be obtained from all the participants following full disclosure regarding the purpose of the study and the procedures involved. Written informed consent forms will be signed by the study participants. Participants in the policy-making process will be sensitized to the study during their participation in various processes.  More importantly, data collectors will take ample time to explain to the participants the purpose of the study, procedures involved, length of the interview, benefits, </w:t>
      </w:r>
      <w:proofErr w:type="gramStart"/>
      <w:r w:rsidRPr="00D36AFD">
        <w:rPr>
          <w:rFonts w:ascii="Times New Roman" w:eastAsia="Times New Roman" w:hAnsi="Times New Roman" w:cs="Times New Roman"/>
          <w:color w:val="000000"/>
          <w:sz w:val="24"/>
          <w:szCs w:val="24"/>
        </w:rPr>
        <w:t>risks</w:t>
      </w:r>
      <w:proofErr w:type="gramEnd"/>
      <w:r w:rsidRPr="00D36AFD">
        <w:rPr>
          <w:rFonts w:ascii="Times New Roman" w:eastAsia="Times New Roman" w:hAnsi="Times New Roman" w:cs="Times New Roman"/>
          <w:color w:val="000000"/>
          <w:sz w:val="24"/>
          <w:szCs w:val="24"/>
        </w:rPr>
        <w:t xml:space="preserve"> and harm (if any) to enable the participants to make an informed decision. The informed consent forms will be developed and translated into local language to enhance understanding by the study communities.</w:t>
      </w:r>
    </w:p>
    <w:p w14:paraId="7D82BC25" w14:textId="77777777" w:rsidR="00940635" w:rsidRPr="00D36AFD" w:rsidRDefault="00081B51">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b/>
          <w:color w:val="000000"/>
          <w:sz w:val="24"/>
          <w:szCs w:val="24"/>
        </w:rPr>
        <w:t xml:space="preserve">Subject Confidentiality </w:t>
      </w:r>
    </w:p>
    <w:p w14:paraId="1B78DC97" w14:textId="77777777" w:rsidR="00940635" w:rsidRPr="00D36AFD" w:rsidRDefault="00081B51">
      <w:pPr>
        <w:spacing w:after="12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The data collection team will be carefully trained on research ethics including full disclosure, respect for persons, seeking informed consent and confidentiality to minimize harm to the respondents. All data will be kept confidential and personal identifiers will be removed from analytical datasets shared with researchers. Databases will be password-protected to control access to non-authorized persons. All investigators, field supervisors, interviewers, and data entry and analysis personnel will also sign a confidentiality agreement before getting access to the data. The form will state that they will keep the data safe and will not reveal any identifiable information about study participants. </w:t>
      </w:r>
    </w:p>
    <w:p w14:paraId="06B35E28" w14:textId="77777777" w:rsidR="00940635" w:rsidRPr="00D36AFD" w:rsidRDefault="00081B51">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b/>
          <w:color w:val="000000"/>
          <w:sz w:val="24"/>
          <w:szCs w:val="24"/>
        </w:rPr>
        <w:t xml:space="preserve">Voluntary Participation </w:t>
      </w:r>
    </w:p>
    <w:p w14:paraId="2A2FDB15" w14:textId="77777777" w:rsidR="00940635" w:rsidRPr="00D36AFD" w:rsidRDefault="00081B51">
      <w:pPr>
        <w:spacing w:after="12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It will be made clear to participants from the onset that participation in the study is voluntary and that those who may choose not to participate or discontinue with the study at any time and for whatever reasons will not face any prejudice. An individual will therefore be discontinued from the study if s/he expresses the desire to do so. The participant will continue to receive </w:t>
      </w:r>
      <w:proofErr w:type="gramStart"/>
      <w:r w:rsidRPr="00D36AFD">
        <w:rPr>
          <w:rFonts w:ascii="Times New Roman" w:eastAsia="Times New Roman" w:hAnsi="Times New Roman" w:cs="Times New Roman"/>
          <w:color w:val="000000"/>
          <w:sz w:val="24"/>
          <w:szCs w:val="24"/>
        </w:rPr>
        <w:t>all of</w:t>
      </w:r>
      <w:proofErr w:type="gramEnd"/>
      <w:r w:rsidRPr="00D36AFD">
        <w:rPr>
          <w:rFonts w:ascii="Times New Roman" w:eastAsia="Times New Roman" w:hAnsi="Times New Roman" w:cs="Times New Roman"/>
          <w:color w:val="000000"/>
          <w:sz w:val="24"/>
          <w:szCs w:val="24"/>
        </w:rPr>
        <w:t xml:space="preserve"> the normal services that s/he usually receives. Participants who agree to take part in the study will be required to provide a signature/thumb print on the informed consent form. The informed consent forms will be retained for a two-year period; after which they will be destroyed by </w:t>
      </w:r>
      <w:r w:rsidRPr="00D36AFD">
        <w:rPr>
          <w:rFonts w:ascii="Times New Roman" w:eastAsia="Times New Roman" w:hAnsi="Times New Roman" w:cs="Times New Roman"/>
          <w:color w:val="000000"/>
          <w:sz w:val="24"/>
          <w:szCs w:val="24"/>
        </w:rPr>
        <w:lastRenderedPageBreak/>
        <w:t xml:space="preserve">shredding them to render the information on them unreadable or irretrievable. Before presentation and/or publication, participant information will be de-identified. </w:t>
      </w:r>
    </w:p>
    <w:p w14:paraId="08F4711A" w14:textId="77777777" w:rsidR="00940635" w:rsidRPr="00D36AFD" w:rsidRDefault="00081B51">
      <w:pPr>
        <w:pStyle w:val="Heading1"/>
      </w:pPr>
      <w:bookmarkStart w:id="21" w:name="_heading=h.z337ya" w:colFirst="0" w:colLast="0"/>
      <w:bookmarkEnd w:id="21"/>
      <w:r w:rsidRPr="00D36AFD">
        <w:t>Risks and Mitigation measures</w:t>
      </w:r>
    </w:p>
    <w:p w14:paraId="24A395F7"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The Covid-19 pandemic situation is a likely risk to the implementation of some of the activities listed for this project. Currently the situation is under control in Kenya but if a new wave spikes during the project implementation, we may not be able to hold in-person engagement meetings or workshops as planned. However, we will explore the feasibility of moving some of the stakeholders’ engagements to be held virtually e.g. through Zoom, Teams, Skype, or Google hangout or where feasible in person meetings will be held while observing standard operating procedures as prescribed by the government of Kenya. Data collection may also be affected by a worsened COVID-19 situation. If this happens, the implementation research will employ the APHRC institutional guidelines for collecting data remotely during peak periods of the epidemic with a provision for postponement of activities that need face-to-face interactions to a later date when the situation improves.</w:t>
      </w:r>
    </w:p>
    <w:p w14:paraId="32BCDBF4" w14:textId="77777777" w:rsidR="00940635" w:rsidRPr="00D36AFD" w:rsidRDefault="00081B51">
      <w:pPr>
        <w:pStyle w:val="Heading1"/>
      </w:pPr>
      <w:bookmarkStart w:id="22" w:name="_heading=h.3j2qqm3" w:colFirst="0" w:colLast="0"/>
      <w:bookmarkEnd w:id="22"/>
      <w:r w:rsidRPr="00D36AFD">
        <w:t>Communicating findings of the study</w:t>
      </w:r>
    </w:p>
    <w:p w14:paraId="124EF476" w14:textId="77777777" w:rsidR="00940635" w:rsidRPr="00D36AFD" w:rsidRDefault="00081B51">
      <w:pPr>
        <w:spacing w:line="360" w:lineRule="auto"/>
        <w:jc w:val="both"/>
        <w:rPr>
          <w:rFonts w:ascii="Times New Roman" w:eastAsia="Times New Roman" w:hAnsi="Times New Roman" w:cs="Times New Roman"/>
          <w:b/>
          <w:i/>
          <w:color w:val="000000"/>
          <w:sz w:val="24"/>
          <w:szCs w:val="24"/>
        </w:rPr>
      </w:pPr>
      <w:r w:rsidRPr="00D36AFD">
        <w:rPr>
          <w:rFonts w:ascii="Times New Roman" w:eastAsia="Times New Roman" w:hAnsi="Times New Roman" w:cs="Times New Roman"/>
          <w:b/>
          <w:i/>
          <w:color w:val="000000"/>
          <w:sz w:val="24"/>
          <w:szCs w:val="24"/>
        </w:rPr>
        <w:t>Implementation coordination</w:t>
      </w:r>
    </w:p>
    <w:p w14:paraId="7A051E04"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The project will form a Steering Committee (membership will include representatives from each collaborating institution) that will oversee the coordination of the project, research administration, publications and data sharing, and integration of all resources needed for the project. The Steering Committee will oversee decisions on any changes in the project direction. The Chair of the Steering Committee will be responsible for communication among work package leads, including meeting schedules and agendas. The position of Chair will rotate among the work package leads on a quarterly basis. Gershim Asiki (GA) will be designated the contact lead and will be responsible for submitting all necessary documents to IDRC, including IRB approvals and annual progress reports. The work package leads, their teams will hold regular teleconferences (fortnightly early in the project and then, at least monthly), using Zoom Video. We have used this kind of web conferencing platform extensively in our previous studies with international collaborators, including during the time when we were developing this proposal. We have high-quality infrastructure to be able to support this communication platform adequately.  </w:t>
      </w:r>
    </w:p>
    <w:p w14:paraId="315D86C6" w14:textId="77777777" w:rsidR="00940635" w:rsidRPr="00D36AFD" w:rsidRDefault="00081B51">
      <w:pPr>
        <w:spacing w:line="360" w:lineRule="auto"/>
        <w:jc w:val="both"/>
        <w:rPr>
          <w:rFonts w:ascii="Times New Roman" w:eastAsia="Times New Roman" w:hAnsi="Times New Roman" w:cs="Times New Roman"/>
          <w:b/>
          <w:i/>
          <w:color w:val="000000"/>
          <w:sz w:val="24"/>
          <w:szCs w:val="24"/>
        </w:rPr>
      </w:pPr>
      <w:r w:rsidRPr="00D36AFD">
        <w:rPr>
          <w:rFonts w:ascii="Times New Roman" w:eastAsia="Times New Roman" w:hAnsi="Times New Roman" w:cs="Times New Roman"/>
          <w:b/>
          <w:i/>
          <w:color w:val="000000"/>
          <w:sz w:val="24"/>
          <w:szCs w:val="24"/>
        </w:rPr>
        <w:t>Data sharing and communication</w:t>
      </w:r>
    </w:p>
    <w:p w14:paraId="6C083591" w14:textId="77777777" w:rsidR="00940635" w:rsidRPr="00D36AFD" w:rsidRDefault="00081B51">
      <w:pPr>
        <w:spacing w:line="360" w:lineRule="auto"/>
        <w:jc w:val="both"/>
        <w:rPr>
          <w:rFonts w:ascii="Times New Roman" w:eastAsia="Times New Roman" w:hAnsi="Times New Roman" w:cs="Times New Roman"/>
          <w:b/>
          <w:color w:val="000000"/>
          <w:sz w:val="24"/>
          <w:szCs w:val="24"/>
        </w:rPr>
      </w:pPr>
      <w:r w:rsidRPr="00D36AFD">
        <w:rPr>
          <w:rFonts w:ascii="Times New Roman" w:eastAsia="Times New Roman" w:hAnsi="Times New Roman" w:cs="Times New Roman"/>
          <w:color w:val="000000"/>
          <w:sz w:val="24"/>
          <w:szCs w:val="24"/>
        </w:rPr>
        <w:lastRenderedPageBreak/>
        <w:t>De-identified project data will be stored on a secure server at APHRC and will be accessible to the project team and any other researchers from anywhere in the world. Similarly, the project team members will also share principal authorship of study outputs (e.g. peer-reviewed publications in scientific journals). Guidelines on collaborative research, data sharing, and authorship of research outputs will be developed and signed by all research team members during the project establishment phase.</w:t>
      </w:r>
      <w:r w:rsidRPr="00D36AFD">
        <w:rPr>
          <w:rFonts w:ascii="Times New Roman" w:eastAsia="Times New Roman" w:hAnsi="Times New Roman" w:cs="Times New Roman"/>
          <w:b/>
          <w:color w:val="000000"/>
          <w:sz w:val="24"/>
          <w:szCs w:val="24"/>
        </w:rPr>
        <w:t xml:space="preserve"> </w:t>
      </w:r>
    </w:p>
    <w:p w14:paraId="11FBDB23" w14:textId="77777777" w:rsidR="00940635" w:rsidRPr="00D36AFD" w:rsidRDefault="00081B51">
      <w:pPr>
        <w:spacing w:line="360" w:lineRule="auto"/>
        <w:jc w:val="both"/>
        <w:rPr>
          <w:rFonts w:ascii="Times New Roman" w:eastAsia="Times New Roman" w:hAnsi="Times New Roman" w:cs="Times New Roman"/>
          <w:b/>
          <w:i/>
          <w:color w:val="000000"/>
          <w:sz w:val="24"/>
          <w:szCs w:val="24"/>
        </w:rPr>
      </w:pPr>
      <w:r w:rsidRPr="00D36AFD">
        <w:rPr>
          <w:rFonts w:ascii="Times New Roman" w:eastAsia="Times New Roman" w:hAnsi="Times New Roman" w:cs="Times New Roman"/>
          <w:b/>
          <w:i/>
          <w:color w:val="000000"/>
          <w:sz w:val="24"/>
          <w:szCs w:val="24"/>
        </w:rPr>
        <w:t>Results and Dissemination</w:t>
      </w:r>
    </w:p>
    <w:p w14:paraId="06129114"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A competent and dedicated team will be responsible for the advocacy related activities to make sure the ultimate objective is met.  </w:t>
      </w:r>
    </w:p>
    <w:p w14:paraId="11546B0F"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The main outputs from this grant </w:t>
      </w:r>
      <w:proofErr w:type="gramStart"/>
      <w:r w:rsidRPr="00D36AFD">
        <w:rPr>
          <w:rFonts w:ascii="Times New Roman" w:eastAsia="Times New Roman" w:hAnsi="Times New Roman" w:cs="Times New Roman"/>
          <w:color w:val="000000"/>
          <w:sz w:val="24"/>
          <w:szCs w:val="24"/>
        </w:rPr>
        <w:t>include</w:t>
      </w:r>
      <w:proofErr w:type="gramEnd"/>
    </w:p>
    <w:p w14:paraId="6E9BDA2A" w14:textId="77777777" w:rsidR="00940635" w:rsidRPr="00D36AFD" w:rsidRDefault="00081B51">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Policy brief series on policy opportunities for the policy bundle.</w:t>
      </w:r>
    </w:p>
    <w:p w14:paraId="6C0D748B" w14:textId="77777777" w:rsidR="00940635" w:rsidRPr="00D36AFD" w:rsidRDefault="00081B51">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Implementation of research publication on the policy development process and potential effectiveness policies </w:t>
      </w:r>
    </w:p>
    <w:p w14:paraId="5B3CD8ED" w14:textId="77777777" w:rsidR="00940635" w:rsidRPr="00D36AFD" w:rsidRDefault="00081B51">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A framework and approach to the food environment policy development adaptable for any country </w:t>
      </w:r>
    </w:p>
    <w:p w14:paraId="485AF39C"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These will be disseminated </w:t>
      </w:r>
      <w:proofErr w:type="gramStart"/>
      <w:r w:rsidRPr="00D36AFD">
        <w:rPr>
          <w:rFonts w:ascii="Times New Roman" w:eastAsia="Times New Roman" w:hAnsi="Times New Roman" w:cs="Times New Roman"/>
          <w:color w:val="000000"/>
          <w:sz w:val="24"/>
          <w:szCs w:val="24"/>
        </w:rPr>
        <w:t>via;</w:t>
      </w:r>
      <w:proofErr w:type="gramEnd"/>
    </w:p>
    <w:p w14:paraId="644076A5" w14:textId="77777777" w:rsidR="00940635" w:rsidRPr="00D36AFD" w:rsidRDefault="00081B51">
      <w:pPr>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Policy brief series of workshops </w:t>
      </w:r>
    </w:p>
    <w:p w14:paraId="18148304" w14:textId="77777777" w:rsidR="00940635" w:rsidRPr="00D36AFD" w:rsidRDefault="00081B51">
      <w:pPr>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Synthesized country position papers</w:t>
      </w:r>
    </w:p>
    <w:p w14:paraId="65F2F995" w14:textId="77777777" w:rsidR="00940635" w:rsidRPr="00D36AFD" w:rsidRDefault="00081B51">
      <w:pPr>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Research engagements with governments and other stakeholders (e.g. webinars)</w:t>
      </w:r>
    </w:p>
    <w:p w14:paraId="355DADC2" w14:textId="77777777" w:rsidR="00940635" w:rsidRPr="00D36AFD" w:rsidRDefault="00081B51">
      <w:pPr>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Lay publications through conversation Africa, social medial platforms (twitter and face books)</w:t>
      </w:r>
    </w:p>
    <w:p w14:paraId="65DFC324" w14:textId="77777777" w:rsidR="00940635" w:rsidRPr="00D36AFD" w:rsidRDefault="00081B51">
      <w:pPr>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Project reports presented to </w:t>
      </w:r>
      <w:proofErr w:type="gramStart"/>
      <w:r w:rsidRPr="00D36AFD">
        <w:rPr>
          <w:rFonts w:ascii="Times New Roman" w:eastAsia="Times New Roman" w:hAnsi="Times New Roman" w:cs="Times New Roman"/>
          <w:color w:val="000000"/>
          <w:sz w:val="24"/>
          <w:szCs w:val="24"/>
        </w:rPr>
        <w:t>government</w:t>
      </w:r>
      <w:proofErr w:type="gramEnd"/>
      <w:r w:rsidRPr="00D36AFD">
        <w:rPr>
          <w:rFonts w:ascii="Times New Roman" w:eastAsia="Times New Roman" w:hAnsi="Times New Roman" w:cs="Times New Roman"/>
          <w:color w:val="000000"/>
          <w:sz w:val="24"/>
          <w:szCs w:val="24"/>
        </w:rPr>
        <w:t xml:space="preserve"> </w:t>
      </w:r>
    </w:p>
    <w:p w14:paraId="544E29D9" w14:textId="77777777" w:rsidR="00940635" w:rsidRPr="00D36AFD" w:rsidRDefault="00081B51">
      <w:pPr>
        <w:pStyle w:val="Heading1"/>
      </w:pPr>
      <w:bookmarkStart w:id="23" w:name="_heading=h.1y810tw" w:colFirst="0" w:colLast="0"/>
      <w:bookmarkEnd w:id="23"/>
      <w:r w:rsidRPr="00D36AFD">
        <w:t>Management and organization of the study</w:t>
      </w:r>
    </w:p>
    <w:p w14:paraId="55A847A4" w14:textId="77777777" w:rsidR="00940635" w:rsidRPr="00D36AFD" w:rsidRDefault="00940635"/>
    <w:tbl>
      <w:tblPr>
        <w:tblStyle w:val="ab"/>
        <w:tblW w:w="9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46"/>
        <w:gridCol w:w="5885"/>
      </w:tblGrid>
      <w:tr w:rsidR="00940635" w:rsidRPr="00D36AFD" w14:paraId="7CE588B4" w14:textId="77777777">
        <w:tc>
          <w:tcPr>
            <w:tcW w:w="3346" w:type="dxa"/>
            <w:tcBorders>
              <w:top w:val="single" w:sz="8" w:space="0" w:color="000000"/>
              <w:left w:val="single" w:sz="4" w:space="0" w:color="000000"/>
              <w:bottom w:val="single" w:sz="8" w:space="0" w:color="000000"/>
              <w:right w:val="single" w:sz="8" w:space="0" w:color="000000"/>
            </w:tcBorders>
            <w:shd w:val="clear" w:color="auto" w:fill="D9D9D9"/>
            <w:tcMar>
              <w:top w:w="0" w:type="dxa"/>
              <w:left w:w="108" w:type="dxa"/>
              <w:bottom w:w="0" w:type="dxa"/>
              <w:right w:w="108" w:type="dxa"/>
            </w:tcMar>
          </w:tcPr>
          <w:p w14:paraId="33D1484E" w14:textId="77777777" w:rsidR="00940635" w:rsidRPr="00D36AFD" w:rsidRDefault="00081B51">
            <w:pPr>
              <w:widowControl w:val="0"/>
              <w:spacing w:line="36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b/>
                <w:color w:val="000000"/>
              </w:rPr>
              <w:t>APHRC Project team members</w:t>
            </w:r>
          </w:p>
        </w:tc>
        <w:tc>
          <w:tcPr>
            <w:tcW w:w="5885"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tcPr>
          <w:p w14:paraId="7ECF971F" w14:textId="77777777" w:rsidR="00940635" w:rsidRPr="00D36AFD" w:rsidRDefault="00081B51">
            <w:pPr>
              <w:widowControl w:val="0"/>
              <w:spacing w:line="36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b/>
                <w:color w:val="000000"/>
              </w:rPr>
              <w:t>Role in the study</w:t>
            </w:r>
          </w:p>
        </w:tc>
      </w:tr>
      <w:tr w:rsidR="00940635" w:rsidRPr="00D36AFD" w14:paraId="622E75FD" w14:textId="77777777">
        <w:trPr>
          <w:trHeight w:val="1016"/>
        </w:trPr>
        <w:tc>
          <w:tcPr>
            <w:tcW w:w="3346" w:type="dxa"/>
            <w:tcBorders>
              <w:top w:val="nil"/>
              <w:left w:val="single" w:sz="4" w:space="0" w:color="000000"/>
              <w:bottom w:val="single" w:sz="4" w:space="0" w:color="000000"/>
              <w:right w:val="single" w:sz="8" w:space="0" w:color="000000"/>
            </w:tcBorders>
            <w:tcMar>
              <w:top w:w="0" w:type="dxa"/>
              <w:left w:w="108" w:type="dxa"/>
              <w:bottom w:w="0" w:type="dxa"/>
              <w:right w:w="108" w:type="dxa"/>
            </w:tcMar>
          </w:tcPr>
          <w:p w14:paraId="0CBA58C1" w14:textId="77777777" w:rsidR="00940635" w:rsidRPr="00D36AFD" w:rsidRDefault="00081B51">
            <w:pPr>
              <w:widowControl w:val="0"/>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Gershim Asiki</w:t>
            </w:r>
          </w:p>
        </w:tc>
        <w:tc>
          <w:tcPr>
            <w:tcW w:w="5885" w:type="dxa"/>
            <w:tcBorders>
              <w:top w:val="nil"/>
              <w:left w:val="nil"/>
              <w:bottom w:val="single" w:sz="4" w:space="0" w:color="000000"/>
              <w:right w:val="single" w:sz="8" w:space="0" w:color="000000"/>
            </w:tcBorders>
            <w:tcMar>
              <w:top w:w="0" w:type="dxa"/>
              <w:left w:w="108" w:type="dxa"/>
              <w:bottom w:w="0" w:type="dxa"/>
              <w:right w:w="108" w:type="dxa"/>
            </w:tcMar>
          </w:tcPr>
          <w:p w14:paraId="63EBA539" w14:textId="77777777" w:rsidR="00940635" w:rsidRPr="00D36AFD" w:rsidRDefault="00081B51">
            <w:pPr>
              <w:widowControl w:val="0"/>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The principal investigator and the lead researcher with experience in epidemiology, food environment policies and NCDs will give oversight to the project.</w:t>
            </w:r>
          </w:p>
        </w:tc>
      </w:tr>
      <w:tr w:rsidR="00940635" w:rsidRPr="00D36AFD" w14:paraId="1A61EF23" w14:textId="77777777">
        <w:trPr>
          <w:trHeight w:val="673"/>
        </w:trPr>
        <w:tc>
          <w:tcPr>
            <w:tcW w:w="3346"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tcPr>
          <w:p w14:paraId="2B715589" w14:textId="77777777" w:rsidR="00940635" w:rsidRPr="00D36AFD" w:rsidRDefault="00081B51">
            <w:pPr>
              <w:widowControl w:val="0"/>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Shukri Mohamed</w:t>
            </w:r>
          </w:p>
        </w:tc>
        <w:tc>
          <w:tcPr>
            <w:tcW w:w="5885" w:type="dxa"/>
            <w:tcBorders>
              <w:top w:val="single" w:sz="4" w:space="0" w:color="000000"/>
              <w:left w:val="nil"/>
              <w:bottom w:val="single" w:sz="4" w:space="0" w:color="000000"/>
              <w:right w:val="single" w:sz="8" w:space="0" w:color="000000"/>
            </w:tcBorders>
            <w:tcMar>
              <w:top w:w="0" w:type="dxa"/>
              <w:left w:w="108" w:type="dxa"/>
              <w:bottom w:w="0" w:type="dxa"/>
              <w:right w:w="108" w:type="dxa"/>
            </w:tcMar>
          </w:tcPr>
          <w:p w14:paraId="35EB2E74" w14:textId="77777777" w:rsidR="00940635" w:rsidRPr="00D36AFD" w:rsidRDefault="00081B51">
            <w:pPr>
              <w:widowControl w:val="0"/>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As the project manager, will coordinate the research and other project activities together with the larger group of </w:t>
            </w:r>
            <w:r w:rsidRPr="00D36AFD">
              <w:rPr>
                <w:rFonts w:ascii="Times New Roman" w:eastAsia="Times New Roman" w:hAnsi="Times New Roman" w:cs="Times New Roman"/>
                <w:color w:val="000000"/>
                <w:sz w:val="24"/>
                <w:szCs w:val="24"/>
              </w:rPr>
              <w:lastRenderedPageBreak/>
              <w:t>stakeholders to this project.</w:t>
            </w:r>
          </w:p>
        </w:tc>
      </w:tr>
      <w:tr w:rsidR="00940635" w:rsidRPr="00D36AFD" w14:paraId="17B025CD" w14:textId="77777777">
        <w:trPr>
          <w:trHeight w:val="673"/>
        </w:trPr>
        <w:tc>
          <w:tcPr>
            <w:tcW w:w="3346"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tcPr>
          <w:p w14:paraId="3A1FC0C5" w14:textId="77777777" w:rsidR="00940635" w:rsidRPr="00D36AFD" w:rsidRDefault="00081B51">
            <w:pPr>
              <w:widowControl w:val="0"/>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lastRenderedPageBreak/>
              <w:t xml:space="preserve">Jane Mangwana, </w:t>
            </w:r>
          </w:p>
        </w:tc>
        <w:tc>
          <w:tcPr>
            <w:tcW w:w="5885" w:type="dxa"/>
            <w:tcBorders>
              <w:top w:val="single" w:sz="4" w:space="0" w:color="000000"/>
              <w:left w:val="nil"/>
              <w:bottom w:val="single" w:sz="4" w:space="0" w:color="000000"/>
              <w:right w:val="single" w:sz="8" w:space="0" w:color="000000"/>
            </w:tcBorders>
            <w:tcMar>
              <w:top w:w="0" w:type="dxa"/>
              <w:left w:w="108" w:type="dxa"/>
              <w:bottom w:w="0" w:type="dxa"/>
              <w:right w:w="108" w:type="dxa"/>
            </w:tcMar>
          </w:tcPr>
          <w:p w14:paraId="6F33221A" w14:textId="77777777" w:rsidR="00940635" w:rsidRPr="00D36AFD" w:rsidRDefault="00081B51">
            <w:pPr>
              <w:widowControl w:val="0"/>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Advocacy and Knowledge Management officer will guide the policy and advocacy engagements of the project.</w:t>
            </w:r>
          </w:p>
        </w:tc>
      </w:tr>
      <w:tr w:rsidR="00940635" w:rsidRPr="00D36AFD" w14:paraId="26DEE7AC" w14:textId="77777777">
        <w:trPr>
          <w:trHeight w:val="686"/>
        </w:trPr>
        <w:tc>
          <w:tcPr>
            <w:tcW w:w="3346"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tcPr>
          <w:p w14:paraId="5BA6E1BE" w14:textId="77777777" w:rsidR="00940635" w:rsidRPr="00D36AFD" w:rsidRDefault="00081B51">
            <w:pPr>
              <w:widowControl w:val="0"/>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Milka Wanjohi</w:t>
            </w:r>
          </w:p>
        </w:tc>
        <w:tc>
          <w:tcPr>
            <w:tcW w:w="5885" w:type="dxa"/>
            <w:tcBorders>
              <w:top w:val="single" w:sz="4" w:space="0" w:color="000000"/>
              <w:left w:val="nil"/>
              <w:bottom w:val="single" w:sz="4" w:space="0" w:color="000000"/>
              <w:right w:val="single" w:sz="8" w:space="0" w:color="000000"/>
            </w:tcBorders>
            <w:tcMar>
              <w:top w:w="0" w:type="dxa"/>
              <w:left w:w="108" w:type="dxa"/>
              <w:bottom w:w="0" w:type="dxa"/>
              <w:right w:w="108" w:type="dxa"/>
            </w:tcMar>
          </w:tcPr>
          <w:p w14:paraId="2C2F1FAD" w14:textId="77777777" w:rsidR="00940635" w:rsidRPr="00D36AFD" w:rsidRDefault="00081B51">
            <w:pPr>
              <w:widowControl w:val="0"/>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A nutritionist will coordinate the NPM and FOPL development and testing. </w:t>
            </w:r>
          </w:p>
        </w:tc>
      </w:tr>
      <w:tr w:rsidR="00940635" w:rsidRPr="00D36AFD" w14:paraId="3AD3AFFB" w14:textId="77777777">
        <w:trPr>
          <w:trHeight w:val="673"/>
        </w:trPr>
        <w:tc>
          <w:tcPr>
            <w:tcW w:w="3346"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tcPr>
          <w:p w14:paraId="506A7153" w14:textId="77777777" w:rsidR="00940635" w:rsidRPr="00D36AFD" w:rsidRDefault="00081B51">
            <w:pPr>
              <w:widowControl w:val="0"/>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Hellen Gitau</w:t>
            </w:r>
          </w:p>
        </w:tc>
        <w:tc>
          <w:tcPr>
            <w:tcW w:w="5885" w:type="dxa"/>
            <w:tcBorders>
              <w:top w:val="single" w:sz="4" w:space="0" w:color="000000"/>
              <w:left w:val="nil"/>
              <w:bottom w:val="single" w:sz="4" w:space="0" w:color="000000"/>
              <w:right w:val="single" w:sz="8" w:space="0" w:color="000000"/>
            </w:tcBorders>
            <w:tcMar>
              <w:top w:w="0" w:type="dxa"/>
              <w:left w:w="108" w:type="dxa"/>
              <w:bottom w:w="0" w:type="dxa"/>
              <w:right w:w="108" w:type="dxa"/>
            </w:tcMar>
          </w:tcPr>
          <w:p w14:paraId="1E8A4DB4" w14:textId="77777777" w:rsidR="00940635" w:rsidRPr="00D36AFD" w:rsidRDefault="00081B51">
            <w:pPr>
              <w:widowControl w:val="0"/>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Systems Dynamics Modelling </w:t>
            </w:r>
          </w:p>
        </w:tc>
      </w:tr>
      <w:tr w:rsidR="00940635" w:rsidRPr="00D36AFD" w14:paraId="311D3450" w14:textId="77777777">
        <w:trPr>
          <w:trHeight w:val="1994"/>
        </w:trPr>
        <w:tc>
          <w:tcPr>
            <w:tcW w:w="3346" w:type="dxa"/>
            <w:tcBorders>
              <w:top w:val="single" w:sz="4" w:space="0" w:color="000000"/>
              <w:left w:val="single" w:sz="4" w:space="0" w:color="000000"/>
              <w:bottom w:val="single" w:sz="8" w:space="0" w:color="000000"/>
              <w:right w:val="single" w:sz="8" w:space="0" w:color="000000"/>
            </w:tcBorders>
            <w:tcMar>
              <w:top w:w="0" w:type="dxa"/>
              <w:left w:w="108" w:type="dxa"/>
              <w:bottom w:w="0" w:type="dxa"/>
              <w:right w:w="108" w:type="dxa"/>
            </w:tcMar>
          </w:tcPr>
          <w:p w14:paraId="661315DC" w14:textId="77777777" w:rsidR="00940635" w:rsidRPr="00D36AFD" w:rsidRDefault="00081B51">
            <w:pPr>
              <w:widowControl w:val="0"/>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sz w:val="24"/>
                <w:szCs w:val="24"/>
              </w:rPr>
              <w:t>Veronica Sanda Ojiambo</w:t>
            </w:r>
          </w:p>
        </w:tc>
        <w:tc>
          <w:tcPr>
            <w:tcW w:w="5885" w:type="dxa"/>
            <w:tcBorders>
              <w:top w:val="single" w:sz="4" w:space="0" w:color="000000"/>
              <w:left w:val="nil"/>
              <w:bottom w:val="single" w:sz="8" w:space="0" w:color="000000"/>
              <w:right w:val="single" w:sz="8" w:space="0" w:color="000000"/>
            </w:tcBorders>
            <w:tcMar>
              <w:top w:w="0" w:type="dxa"/>
              <w:left w:w="108" w:type="dxa"/>
              <w:bottom w:w="0" w:type="dxa"/>
              <w:right w:w="108" w:type="dxa"/>
            </w:tcMar>
          </w:tcPr>
          <w:p w14:paraId="053A856C" w14:textId="77777777" w:rsidR="00940635" w:rsidRPr="00D36AFD" w:rsidRDefault="00081B51">
            <w:pPr>
              <w:widowControl w:val="0"/>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 xml:space="preserve">Research officer for the project will oversee the development of the study protocol, training of research assistants, and data collection tools. She will coordinate fieldwork data collection and supervision of the research assistants. </w:t>
            </w:r>
          </w:p>
        </w:tc>
      </w:tr>
    </w:tbl>
    <w:p w14:paraId="486C9DC1" w14:textId="77777777" w:rsidR="00940635" w:rsidRPr="00D36AFD" w:rsidRDefault="00940635">
      <w:pPr>
        <w:tabs>
          <w:tab w:val="left" w:pos="360"/>
          <w:tab w:val="left" w:pos="720"/>
          <w:tab w:val="left" w:pos="1080"/>
          <w:tab w:val="left" w:pos="1440"/>
        </w:tabs>
        <w:spacing w:before="120" w:after="74" w:line="360" w:lineRule="auto"/>
        <w:jc w:val="both"/>
        <w:rPr>
          <w:rFonts w:ascii="Times New Roman" w:eastAsia="Times New Roman" w:hAnsi="Times New Roman" w:cs="Times New Roman"/>
          <w:color w:val="000000"/>
          <w:sz w:val="24"/>
          <w:szCs w:val="24"/>
        </w:rPr>
      </w:pPr>
    </w:p>
    <w:p w14:paraId="09ECD3E7" w14:textId="77777777" w:rsidR="00940635" w:rsidRPr="00D36AFD" w:rsidRDefault="00081B51">
      <w:pPr>
        <w:rPr>
          <w:rFonts w:ascii="Times New Roman" w:eastAsia="Times New Roman" w:hAnsi="Times New Roman" w:cs="Times New Roman"/>
          <w:b/>
          <w:color w:val="000000"/>
          <w:sz w:val="28"/>
          <w:szCs w:val="28"/>
        </w:rPr>
      </w:pPr>
      <w:bookmarkStart w:id="24" w:name="_heading=h.4i7ojhp" w:colFirst="0" w:colLast="0"/>
      <w:bookmarkEnd w:id="24"/>
      <w:r w:rsidRPr="00D36AFD">
        <w:br w:type="page"/>
      </w:r>
    </w:p>
    <w:p w14:paraId="5D89EFC7" w14:textId="77777777" w:rsidR="00940635" w:rsidRPr="00D36AFD" w:rsidRDefault="00081B51">
      <w:pPr>
        <w:pStyle w:val="Heading1"/>
      </w:pPr>
      <w:r w:rsidRPr="00D36AFD">
        <w:lastRenderedPageBreak/>
        <w:t>Budget</w:t>
      </w:r>
    </w:p>
    <w:p w14:paraId="0FC07B3D" w14:textId="77777777" w:rsidR="00940635" w:rsidRPr="00D36AFD" w:rsidRDefault="00940635">
      <w:pPr>
        <w:tabs>
          <w:tab w:val="left" w:pos="360"/>
          <w:tab w:val="left" w:pos="720"/>
          <w:tab w:val="left" w:pos="1080"/>
          <w:tab w:val="left" w:pos="1440"/>
        </w:tabs>
        <w:spacing w:before="120" w:after="74" w:line="360" w:lineRule="auto"/>
        <w:jc w:val="both"/>
        <w:rPr>
          <w:rFonts w:ascii="Times New Roman" w:eastAsia="Times New Roman" w:hAnsi="Times New Roman" w:cs="Times New Roman"/>
          <w:color w:val="000000"/>
          <w:sz w:val="24"/>
          <w:szCs w:val="24"/>
        </w:rPr>
      </w:pPr>
    </w:p>
    <w:tbl>
      <w:tblPr>
        <w:tblStyle w:val="ac"/>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58"/>
        <w:gridCol w:w="4558"/>
      </w:tblGrid>
      <w:tr w:rsidR="00940635" w:rsidRPr="00D36AFD" w14:paraId="6FE4F641" w14:textId="77777777">
        <w:trPr>
          <w:trHeight w:val="316"/>
        </w:trPr>
        <w:tc>
          <w:tcPr>
            <w:tcW w:w="9016" w:type="dxa"/>
            <w:gridSpan w:val="2"/>
            <w:shd w:val="clear" w:color="auto" w:fill="D9D9D9"/>
          </w:tcPr>
          <w:p w14:paraId="664493BF" w14:textId="77777777" w:rsidR="00940635" w:rsidRPr="00D36AFD" w:rsidRDefault="00081B51">
            <w:pPr>
              <w:spacing w:line="360" w:lineRule="auto"/>
              <w:jc w:val="both"/>
              <w:rPr>
                <w:rFonts w:ascii="Times New Roman" w:eastAsia="Times New Roman" w:hAnsi="Times New Roman" w:cs="Times New Roman"/>
                <w:b/>
                <w:color w:val="000000"/>
                <w:sz w:val="24"/>
                <w:szCs w:val="24"/>
              </w:rPr>
            </w:pPr>
            <w:r w:rsidRPr="00D36AFD">
              <w:rPr>
                <w:rFonts w:ascii="Times New Roman" w:eastAsia="Times New Roman" w:hAnsi="Times New Roman" w:cs="Times New Roman"/>
                <w:b/>
                <w:color w:val="000000"/>
                <w:sz w:val="24"/>
                <w:szCs w:val="24"/>
              </w:rPr>
              <w:t>IDRC-FEP Action Study budget</w:t>
            </w:r>
          </w:p>
        </w:tc>
      </w:tr>
      <w:tr w:rsidR="00940635" w:rsidRPr="00D36AFD" w14:paraId="26450859" w14:textId="77777777">
        <w:trPr>
          <w:trHeight w:val="316"/>
        </w:trPr>
        <w:tc>
          <w:tcPr>
            <w:tcW w:w="4458" w:type="dxa"/>
          </w:tcPr>
          <w:p w14:paraId="3DC7FCB9"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Items</w:t>
            </w:r>
          </w:p>
        </w:tc>
        <w:tc>
          <w:tcPr>
            <w:tcW w:w="4558" w:type="dxa"/>
          </w:tcPr>
          <w:p w14:paraId="3C370845"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YEAR 2022-2024</w:t>
            </w:r>
          </w:p>
        </w:tc>
      </w:tr>
      <w:tr w:rsidR="00940635" w:rsidRPr="00D36AFD" w14:paraId="1F52BB53" w14:textId="77777777">
        <w:trPr>
          <w:trHeight w:val="329"/>
        </w:trPr>
        <w:tc>
          <w:tcPr>
            <w:tcW w:w="4458" w:type="dxa"/>
          </w:tcPr>
          <w:p w14:paraId="415E0A89" w14:textId="77777777" w:rsidR="00940635" w:rsidRPr="00D36AFD" w:rsidRDefault="00940635">
            <w:pPr>
              <w:spacing w:line="360" w:lineRule="auto"/>
              <w:jc w:val="both"/>
              <w:rPr>
                <w:rFonts w:ascii="Times New Roman" w:eastAsia="Times New Roman" w:hAnsi="Times New Roman" w:cs="Times New Roman"/>
                <w:color w:val="000000"/>
                <w:sz w:val="24"/>
                <w:szCs w:val="24"/>
              </w:rPr>
            </w:pPr>
          </w:p>
        </w:tc>
        <w:tc>
          <w:tcPr>
            <w:tcW w:w="4558" w:type="dxa"/>
          </w:tcPr>
          <w:p w14:paraId="4FC6F931" w14:textId="77777777" w:rsidR="00940635" w:rsidRPr="00D36AFD" w:rsidRDefault="00081B51">
            <w:pPr>
              <w:spacing w:line="360" w:lineRule="auto"/>
              <w:jc w:val="both"/>
              <w:rPr>
                <w:rFonts w:ascii="Times New Roman" w:eastAsia="Times New Roman" w:hAnsi="Times New Roman" w:cs="Times New Roman"/>
                <w:b/>
                <w:color w:val="000000"/>
                <w:sz w:val="24"/>
                <w:szCs w:val="24"/>
              </w:rPr>
            </w:pPr>
            <w:r w:rsidRPr="00D36AFD">
              <w:rPr>
                <w:rFonts w:ascii="Times New Roman" w:eastAsia="Times New Roman" w:hAnsi="Times New Roman" w:cs="Times New Roman"/>
                <w:b/>
                <w:color w:val="000000"/>
                <w:sz w:val="24"/>
                <w:szCs w:val="24"/>
              </w:rPr>
              <w:t>USD</w:t>
            </w:r>
          </w:p>
        </w:tc>
      </w:tr>
      <w:tr w:rsidR="00940635" w:rsidRPr="00D36AFD" w14:paraId="1C6D14C5" w14:textId="77777777">
        <w:trPr>
          <w:trHeight w:val="316"/>
        </w:trPr>
        <w:tc>
          <w:tcPr>
            <w:tcW w:w="4458" w:type="dxa"/>
          </w:tcPr>
          <w:p w14:paraId="43E90F8E"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Personnel Costs</w:t>
            </w:r>
          </w:p>
        </w:tc>
        <w:tc>
          <w:tcPr>
            <w:tcW w:w="4558" w:type="dxa"/>
          </w:tcPr>
          <w:p w14:paraId="5F06A176"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51,375.46</w:t>
            </w:r>
          </w:p>
        </w:tc>
      </w:tr>
      <w:tr w:rsidR="00940635" w:rsidRPr="00D36AFD" w14:paraId="57DDB8E4" w14:textId="77777777">
        <w:trPr>
          <w:trHeight w:val="316"/>
        </w:trPr>
        <w:tc>
          <w:tcPr>
            <w:tcW w:w="4458" w:type="dxa"/>
          </w:tcPr>
          <w:p w14:paraId="1FC2886F"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Ethics approval</w:t>
            </w:r>
          </w:p>
        </w:tc>
        <w:tc>
          <w:tcPr>
            <w:tcW w:w="4558" w:type="dxa"/>
          </w:tcPr>
          <w:p w14:paraId="04F8CD04"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2,021.00</w:t>
            </w:r>
          </w:p>
        </w:tc>
      </w:tr>
      <w:tr w:rsidR="00940635" w:rsidRPr="00D36AFD" w14:paraId="5D6F860A" w14:textId="77777777">
        <w:trPr>
          <w:trHeight w:val="728"/>
        </w:trPr>
        <w:tc>
          <w:tcPr>
            <w:tcW w:w="4458" w:type="dxa"/>
          </w:tcPr>
          <w:p w14:paraId="700AE3A2"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Data Collectors Training, Tools Development and Data Collection</w:t>
            </w:r>
          </w:p>
        </w:tc>
        <w:tc>
          <w:tcPr>
            <w:tcW w:w="4558" w:type="dxa"/>
          </w:tcPr>
          <w:p w14:paraId="6CCBB1C3"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67,606.00</w:t>
            </w:r>
          </w:p>
        </w:tc>
      </w:tr>
      <w:tr w:rsidR="00940635" w:rsidRPr="00D36AFD" w14:paraId="376ADBB5" w14:textId="77777777">
        <w:trPr>
          <w:trHeight w:val="329"/>
        </w:trPr>
        <w:tc>
          <w:tcPr>
            <w:tcW w:w="4458" w:type="dxa"/>
          </w:tcPr>
          <w:p w14:paraId="1A7625BF"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Equipment and field supplies</w:t>
            </w:r>
          </w:p>
        </w:tc>
        <w:tc>
          <w:tcPr>
            <w:tcW w:w="4558" w:type="dxa"/>
          </w:tcPr>
          <w:p w14:paraId="4192CA62"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14,280.00</w:t>
            </w:r>
          </w:p>
        </w:tc>
      </w:tr>
      <w:tr w:rsidR="00940635" w:rsidRPr="00D36AFD" w14:paraId="18BD523B" w14:textId="77777777">
        <w:trPr>
          <w:trHeight w:val="316"/>
        </w:trPr>
        <w:tc>
          <w:tcPr>
            <w:tcW w:w="4458" w:type="dxa"/>
          </w:tcPr>
          <w:p w14:paraId="197B7AE2" w14:textId="77777777" w:rsidR="00940635" w:rsidRPr="00D36AFD" w:rsidRDefault="00940635">
            <w:pPr>
              <w:spacing w:line="360" w:lineRule="auto"/>
              <w:jc w:val="both"/>
              <w:rPr>
                <w:rFonts w:ascii="Times New Roman" w:eastAsia="Times New Roman" w:hAnsi="Times New Roman" w:cs="Times New Roman"/>
                <w:color w:val="000000"/>
                <w:sz w:val="24"/>
                <w:szCs w:val="24"/>
              </w:rPr>
            </w:pPr>
          </w:p>
        </w:tc>
        <w:tc>
          <w:tcPr>
            <w:tcW w:w="4558" w:type="dxa"/>
          </w:tcPr>
          <w:p w14:paraId="3125F88F" w14:textId="77777777" w:rsidR="00940635" w:rsidRPr="00D36AFD" w:rsidRDefault="00940635">
            <w:pPr>
              <w:spacing w:line="360" w:lineRule="auto"/>
              <w:jc w:val="both"/>
              <w:rPr>
                <w:rFonts w:ascii="Times New Roman" w:eastAsia="Times New Roman" w:hAnsi="Times New Roman" w:cs="Times New Roman"/>
                <w:color w:val="000000"/>
                <w:sz w:val="24"/>
                <w:szCs w:val="24"/>
              </w:rPr>
            </w:pPr>
          </w:p>
        </w:tc>
      </w:tr>
      <w:tr w:rsidR="00940635" w:rsidRPr="00D36AFD" w14:paraId="5B3F35D8" w14:textId="77777777">
        <w:trPr>
          <w:trHeight w:val="316"/>
        </w:trPr>
        <w:tc>
          <w:tcPr>
            <w:tcW w:w="4458" w:type="dxa"/>
            <w:shd w:val="clear" w:color="auto" w:fill="D9D9D9"/>
          </w:tcPr>
          <w:p w14:paraId="32085177" w14:textId="77777777" w:rsidR="00940635" w:rsidRPr="00D36AFD" w:rsidRDefault="00081B51">
            <w:pPr>
              <w:spacing w:line="360" w:lineRule="auto"/>
              <w:jc w:val="both"/>
              <w:rPr>
                <w:rFonts w:ascii="Times New Roman" w:eastAsia="Times New Roman" w:hAnsi="Times New Roman" w:cs="Times New Roman"/>
                <w:b/>
                <w:color w:val="000000"/>
                <w:sz w:val="24"/>
                <w:szCs w:val="24"/>
              </w:rPr>
            </w:pPr>
            <w:r w:rsidRPr="00D36AFD">
              <w:rPr>
                <w:rFonts w:ascii="Times New Roman" w:eastAsia="Times New Roman" w:hAnsi="Times New Roman" w:cs="Times New Roman"/>
                <w:b/>
                <w:color w:val="000000"/>
                <w:sz w:val="24"/>
                <w:szCs w:val="24"/>
              </w:rPr>
              <w:t>Total</w:t>
            </w:r>
          </w:p>
        </w:tc>
        <w:tc>
          <w:tcPr>
            <w:tcW w:w="4558" w:type="dxa"/>
            <w:shd w:val="clear" w:color="auto" w:fill="D9D9D9"/>
          </w:tcPr>
          <w:p w14:paraId="042A0645" w14:textId="77777777" w:rsidR="00940635" w:rsidRPr="00D36AFD" w:rsidRDefault="00081B51">
            <w:pPr>
              <w:spacing w:line="360" w:lineRule="auto"/>
              <w:jc w:val="both"/>
              <w:rPr>
                <w:rFonts w:ascii="Times New Roman" w:eastAsia="Times New Roman" w:hAnsi="Times New Roman" w:cs="Times New Roman"/>
                <w:b/>
                <w:color w:val="000000"/>
                <w:sz w:val="24"/>
                <w:szCs w:val="24"/>
              </w:rPr>
            </w:pPr>
            <w:r w:rsidRPr="00D36AFD">
              <w:rPr>
                <w:rFonts w:ascii="Times New Roman" w:eastAsia="Times New Roman" w:hAnsi="Times New Roman" w:cs="Times New Roman"/>
                <w:b/>
                <w:color w:val="000000"/>
                <w:sz w:val="24"/>
                <w:szCs w:val="24"/>
              </w:rPr>
              <w:t>135,282.46</w:t>
            </w:r>
          </w:p>
        </w:tc>
      </w:tr>
    </w:tbl>
    <w:p w14:paraId="230182D3" w14:textId="77777777" w:rsidR="00940635" w:rsidRPr="00D36AFD" w:rsidRDefault="00940635">
      <w:pPr>
        <w:tabs>
          <w:tab w:val="left" w:pos="360"/>
          <w:tab w:val="left" w:pos="720"/>
          <w:tab w:val="left" w:pos="1080"/>
          <w:tab w:val="left" w:pos="1440"/>
        </w:tabs>
        <w:spacing w:before="120" w:after="74" w:line="360" w:lineRule="auto"/>
        <w:jc w:val="both"/>
        <w:rPr>
          <w:rFonts w:ascii="Times New Roman" w:eastAsia="Times New Roman" w:hAnsi="Times New Roman" w:cs="Times New Roman"/>
          <w:color w:val="000000"/>
          <w:sz w:val="24"/>
          <w:szCs w:val="24"/>
        </w:rPr>
      </w:pPr>
    </w:p>
    <w:p w14:paraId="0C04ACF3" w14:textId="77777777" w:rsidR="00940635" w:rsidRPr="00D36AFD" w:rsidRDefault="00081B51">
      <w:pPr>
        <w:spacing w:line="360" w:lineRule="auto"/>
        <w:jc w:val="both"/>
        <w:rPr>
          <w:rFonts w:ascii="Times New Roman" w:eastAsia="Times New Roman" w:hAnsi="Times New Roman" w:cs="Times New Roman"/>
          <w:b/>
          <w:color w:val="000000"/>
          <w:sz w:val="24"/>
          <w:szCs w:val="24"/>
        </w:rPr>
        <w:sectPr w:rsidR="00940635" w:rsidRPr="00D36AFD" w:rsidSect="00401414">
          <w:pgSz w:w="11906" w:h="16838"/>
          <w:pgMar w:top="1440" w:right="1440" w:bottom="1440" w:left="1440" w:header="708" w:footer="708" w:gutter="0"/>
          <w:cols w:space="720"/>
        </w:sectPr>
      </w:pPr>
      <w:r w:rsidRPr="00D36AFD">
        <w:br w:type="page"/>
      </w:r>
    </w:p>
    <w:p w14:paraId="2A6BA704" w14:textId="77777777" w:rsidR="00940635" w:rsidRPr="00D36AFD" w:rsidRDefault="00081B51">
      <w:pPr>
        <w:pStyle w:val="Heading1"/>
      </w:pPr>
      <w:bookmarkStart w:id="25" w:name="_heading=h.2xcytpi" w:colFirst="0" w:colLast="0"/>
      <w:bookmarkEnd w:id="25"/>
      <w:r w:rsidRPr="00D36AFD">
        <w:lastRenderedPageBreak/>
        <w:t>Study timelines</w:t>
      </w:r>
    </w:p>
    <w:p w14:paraId="7EF31BE4"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t>The t</w:t>
      </w:r>
      <w:r w:rsidRPr="00D36AFD">
        <w:rPr>
          <w:rFonts w:ascii="Times New Roman" w:eastAsia="Times New Roman" w:hAnsi="Times New Roman" w:cs="Times New Roman"/>
          <w:color w:val="000000"/>
          <w:sz w:val="24"/>
          <w:szCs w:val="24"/>
        </w:rPr>
        <w:t xml:space="preserve">able below shows a detailed timeline with a summary of the research activities in the implementation of the project.  </w:t>
      </w:r>
    </w:p>
    <w:p w14:paraId="4F81F90E"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color w:val="000000"/>
          <w:sz w:val="24"/>
          <w:szCs w:val="24"/>
        </w:rPr>
        <w:t>Other implementation activities will be happening in the background of this research timeline including policy development work being driven by a taskforce and finalization of the NPM and FoPL by month 7, developing advocacy plans by month 9, mapping of stakeholders and desk reviews, development of advocacy tools, two policies implemented for at least one year in the third year, while  the engagement of policymakers with evidence generated through research will be an iterative process throughout the project period.</w:t>
      </w:r>
    </w:p>
    <w:p w14:paraId="483C7869" w14:textId="77777777" w:rsidR="00940635" w:rsidRPr="00D36AFD" w:rsidRDefault="00081B51">
      <w:pPr>
        <w:keepNext/>
        <w:pBdr>
          <w:top w:val="nil"/>
          <w:left w:val="nil"/>
          <w:bottom w:val="nil"/>
          <w:right w:val="nil"/>
          <w:between w:val="nil"/>
        </w:pBdr>
        <w:spacing w:after="200" w:line="360" w:lineRule="auto"/>
        <w:jc w:val="both"/>
        <w:rPr>
          <w:rFonts w:ascii="Times New Roman" w:eastAsia="Times New Roman" w:hAnsi="Times New Roman" w:cs="Times New Roman"/>
          <w:b/>
          <w:i/>
          <w:color w:val="000000"/>
          <w:sz w:val="24"/>
          <w:szCs w:val="24"/>
        </w:rPr>
      </w:pPr>
      <w:r w:rsidRPr="00D36AFD">
        <w:rPr>
          <w:rFonts w:ascii="Times New Roman" w:eastAsia="Times New Roman" w:hAnsi="Times New Roman" w:cs="Times New Roman"/>
          <w:b/>
          <w:i/>
          <w:color w:val="000000"/>
          <w:sz w:val="24"/>
          <w:szCs w:val="24"/>
        </w:rPr>
        <w:t xml:space="preserve">Gantt chart showing activity </w:t>
      </w:r>
      <w:proofErr w:type="gramStart"/>
      <w:r w:rsidRPr="00D36AFD">
        <w:rPr>
          <w:rFonts w:ascii="Times New Roman" w:eastAsia="Times New Roman" w:hAnsi="Times New Roman" w:cs="Times New Roman"/>
          <w:b/>
          <w:i/>
          <w:color w:val="000000"/>
          <w:sz w:val="24"/>
          <w:szCs w:val="24"/>
        </w:rPr>
        <w:t>timelines</w:t>
      </w:r>
      <w:proofErr w:type="gramEnd"/>
      <w:r w:rsidRPr="00D36AFD">
        <w:rPr>
          <w:rFonts w:ascii="Times New Roman" w:eastAsia="Times New Roman" w:hAnsi="Times New Roman" w:cs="Times New Roman"/>
          <w:b/>
          <w:i/>
          <w:color w:val="000000"/>
          <w:sz w:val="24"/>
          <w:szCs w:val="24"/>
        </w:rPr>
        <w:t xml:space="preserve"> </w:t>
      </w:r>
    </w:p>
    <w:tbl>
      <w:tblPr>
        <w:tblStyle w:val="ad"/>
        <w:tblW w:w="14526" w:type="dxa"/>
        <w:tblInd w:w="-10" w:type="dxa"/>
        <w:tblLayout w:type="fixed"/>
        <w:tblLook w:val="0400" w:firstRow="0" w:lastRow="0" w:firstColumn="0" w:lastColumn="0" w:noHBand="0" w:noVBand="1"/>
      </w:tblPr>
      <w:tblGrid>
        <w:gridCol w:w="5838"/>
        <w:gridCol w:w="728"/>
        <w:gridCol w:w="762"/>
        <w:gridCol w:w="673"/>
        <w:gridCol w:w="698"/>
        <w:gridCol w:w="729"/>
        <w:gridCol w:w="673"/>
        <w:gridCol w:w="762"/>
        <w:gridCol w:w="764"/>
        <w:gridCol w:w="762"/>
        <w:gridCol w:w="696"/>
        <w:gridCol w:w="762"/>
        <w:gridCol w:w="673"/>
        <w:gridCol w:w="6"/>
      </w:tblGrid>
      <w:tr w:rsidR="00940635" w:rsidRPr="00D36AFD" w14:paraId="2191B6D5" w14:textId="77777777">
        <w:trPr>
          <w:trHeight w:val="250"/>
        </w:trPr>
        <w:tc>
          <w:tcPr>
            <w:tcW w:w="5839" w:type="dxa"/>
            <w:vMerge w:val="restart"/>
            <w:tcBorders>
              <w:top w:val="single" w:sz="8" w:space="0" w:color="000000"/>
              <w:left w:val="single" w:sz="8" w:space="0" w:color="000000"/>
              <w:bottom w:val="single" w:sz="4" w:space="0" w:color="000000"/>
              <w:right w:val="single" w:sz="4" w:space="0" w:color="000000"/>
            </w:tcBorders>
            <w:shd w:val="clear" w:color="auto" w:fill="A8D08D"/>
            <w:vAlign w:val="center"/>
          </w:tcPr>
          <w:p w14:paraId="52E42451" w14:textId="77777777" w:rsidR="00940635" w:rsidRPr="00D36AFD" w:rsidRDefault="00081B51">
            <w:pPr>
              <w:spacing w:after="0" w:line="240" w:lineRule="auto"/>
              <w:jc w:val="both"/>
              <w:rPr>
                <w:rFonts w:ascii="Times New Roman" w:eastAsia="Times New Roman" w:hAnsi="Times New Roman" w:cs="Times New Roman"/>
                <w:color w:val="000000"/>
                <w:sz w:val="18"/>
                <w:szCs w:val="18"/>
              </w:rPr>
            </w:pPr>
            <w:r w:rsidRPr="00D36AFD">
              <w:rPr>
                <w:rFonts w:ascii="Times New Roman" w:eastAsia="Times New Roman" w:hAnsi="Times New Roman" w:cs="Times New Roman"/>
                <w:color w:val="000000"/>
                <w:sz w:val="18"/>
                <w:szCs w:val="18"/>
              </w:rPr>
              <w:t>Project Activities</w:t>
            </w:r>
          </w:p>
        </w:tc>
        <w:tc>
          <w:tcPr>
            <w:tcW w:w="2861" w:type="dxa"/>
            <w:gridSpan w:val="4"/>
            <w:tcBorders>
              <w:top w:val="single" w:sz="8" w:space="0" w:color="000000"/>
              <w:left w:val="single" w:sz="4" w:space="0" w:color="000000"/>
              <w:bottom w:val="single" w:sz="4" w:space="0" w:color="000000"/>
              <w:right w:val="single" w:sz="8" w:space="0" w:color="000000"/>
            </w:tcBorders>
            <w:shd w:val="clear" w:color="auto" w:fill="A8D08D"/>
            <w:vAlign w:val="center"/>
          </w:tcPr>
          <w:p w14:paraId="15521EE8" w14:textId="77777777" w:rsidR="00940635" w:rsidRPr="00D36AFD" w:rsidRDefault="00081B51">
            <w:pPr>
              <w:spacing w:after="0" w:line="240" w:lineRule="auto"/>
              <w:jc w:val="both"/>
              <w:rPr>
                <w:rFonts w:ascii="Times New Roman" w:eastAsia="Times New Roman" w:hAnsi="Times New Roman" w:cs="Times New Roman"/>
                <w:color w:val="000000"/>
                <w:sz w:val="18"/>
                <w:szCs w:val="18"/>
              </w:rPr>
            </w:pPr>
            <w:r w:rsidRPr="00D36AFD">
              <w:rPr>
                <w:rFonts w:ascii="Times New Roman" w:eastAsia="Times New Roman" w:hAnsi="Times New Roman" w:cs="Times New Roman"/>
                <w:color w:val="000000"/>
                <w:sz w:val="18"/>
                <w:szCs w:val="18"/>
              </w:rPr>
              <w:t>Year-1</w:t>
            </w:r>
          </w:p>
        </w:tc>
        <w:tc>
          <w:tcPr>
            <w:tcW w:w="2928" w:type="dxa"/>
            <w:gridSpan w:val="4"/>
            <w:tcBorders>
              <w:top w:val="single" w:sz="8" w:space="0" w:color="000000"/>
              <w:left w:val="single" w:sz="8" w:space="0" w:color="000000"/>
              <w:bottom w:val="single" w:sz="4" w:space="0" w:color="000000"/>
              <w:right w:val="single" w:sz="8" w:space="0" w:color="000000"/>
            </w:tcBorders>
            <w:shd w:val="clear" w:color="auto" w:fill="A8D08D"/>
            <w:vAlign w:val="center"/>
          </w:tcPr>
          <w:p w14:paraId="0A7857D7" w14:textId="77777777" w:rsidR="00940635" w:rsidRPr="00D36AFD" w:rsidRDefault="00081B51">
            <w:pPr>
              <w:spacing w:after="0" w:line="240" w:lineRule="auto"/>
              <w:jc w:val="both"/>
              <w:rPr>
                <w:rFonts w:ascii="Times New Roman" w:eastAsia="Times New Roman" w:hAnsi="Times New Roman" w:cs="Times New Roman"/>
                <w:color w:val="000000"/>
                <w:sz w:val="18"/>
                <w:szCs w:val="18"/>
              </w:rPr>
            </w:pPr>
            <w:r w:rsidRPr="00D36AFD">
              <w:rPr>
                <w:rFonts w:ascii="Times New Roman" w:eastAsia="Times New Roman" w:hAnsi="Times New Roman" w:cs="Times New Roman"/>
                <w:color w:val="000000"/>
                <w:sz w:val="18"/>
                <w:szCs w:val="18"/>
              </w:rPr>
              <w:t>Year-2</w:t>
            </w:r>
          </w:p>
        </w:tc>
        <w:tc>
          <w:tcPr>
            <w:tcW w:w="2899" w:type="dxa"/>
            <w:gridSpan w:val="5"/>
            <w:tcBorders>
              <w:top w:val="single" w:sz="8" w:space="0" w:color="000000"/>
              <w:left w:val="single" w:sz="8" w:space="0" w:color="000000"/>
              <w:bottom w:val="single" w:sz="4" w:space="0" w:color="000000"/>
              <w:right w:val="single" w:sz="8" w:space="0" w:color="000000"/>
            </w:tcBorders>
            <w:shd w:val="clear" w:color="auto" w:fill="A8D08D"/>
            <w:vAlign w:val="center"/>
          </w:tcPr>
          <w:p w14:paraId="45CE975D" w14:textId="77777777" w:rsidR="00940635" w:rsidRPr="00D36AFD" w:rsidRDefault="00081B51">
            <w:pPr>
              <w:spacing w:after="0" w:line="240" w:lineRule="auto"/>
              <w:jc w:val="both"/>
              <w:rPr>
                <w:rFonts w:ascii="Times New Roman" w:eastAsia="Times New Roman" w:hAnsi="Times New Roman" w:cs="Times New Roman"/>
                <w:color w:val="000000"/>
                <w:sz w:val="18"/>
                <w:szCs w:val="18"/>
              </w:rPr>
            </w:pPr>
            <w:r w:rsidRPr="00D36AFD">
              <w:rPr>
                <w:rFonts w:ascii="Times New Roman" w:eastAsia="Times New Roman" w:hAnsi="Times New Roman" w:cs="Times New Roman"/>
                <w:color w:val="000000"/>
                <w:sz w:val="18"/>
                <w:szCs w:val="18"/>
              </w:rPr>
              <w:t>Year-3</w:t>
            </w:r>
          </w:p>
        </w:tc>
      </w:tr>
      <w:tr w:rsidR="00940635" w:rsidRPr="00D36AFD" w14:paraId="11F5E9A5" w14:textId="77777777">
        <w:trPr>
          <w:gridAfter w:val="1"/>
          <w:wAfter w:w="6" w:type="dxa"/>
          <w:trHeight w:val="250"/>
        </w:trPr>
        <w:tc>
          <w:tcPr>
            <w:tcW w:w="5839" w:type="dxa"/>
            <w:vMerge/>
            <w:tcBorders>
              <w:top w:val="single" w:sz="8" w:space="0" w:color="000000"/>
              <w:left w:val="single" w:sz="8" w:space="0" w:color="000000"/>
              <w:bottom w:val="single" w:sz="4" w:space="0" w:color="000000"/>
              <w:right w:val="single" w:sz="4" w:space="0" w:color="000000"/>
            </w:tcBorders>
            <w:shd w:val="clear" w:color="auto" w:fill="A8D08D"/>
            <w:vAlign w:val="center"/>
          </w:tcPr>
          <w:p w14:paraId="6E1FE05E" w14:textId="77777777" w:rsidR="00940635" w:rsidRPr="00D36AFD" w:rsidRDefault="00940635">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728" w:type="dxa"/>
            <w:tcBorders>
              <w:top w:val="nil"/>
              <w:left w:val="single" w:sz="4" w:space="0" w:color="000000"/>
              <w:bottom w:val="single" w:sz="4" w:space="0" w:color="000000"/>
              <w:right w:val="single" w:sz="4" w:space="0" w:color="000000"/>
            </w:tcBorders>
            <w:shd w:val="clear" w:color="auto" w:fill="A8D08D"/>
            <w:vAlign w:val="center"/>
          </w:tcPr>
          <w:p w14:paraId="57EF71EE" w14:textId="77777777" w:rsidR="00940635" w:rsidRPr="00D36AFD" w:rsidRDefault="00081B51">
            <w:pPr>
              <w:spacing w:after="0" w:line="240" w:lineRule="auto"/>
              <w:jc w:val="both"/>
              <w:rPr>
                <w:rFonts w:ascii="Times New Roman" w:eastAsia="Times New Roman" w:hAnsi="Times New Roman" w:cs="Times New Roman"/>
                <w:color w:val="000000"/>
                <w:sz w:val="18"/>
                <w:szCs w:val="18"/>
              </w:rPr>
            </w:pPr>
            <w:r w:rsidRPr="00D36AFD">
              <w:rPr>
                <w:rFonts w:ascii="Times New Roman" w:eastAsia="Times New Roman" w:hAnsi="Times New Roman" w:cs="Times New Roman"/>
                <w:color w:val="000000"/>
                <w:sz w:val="18"/>
                <w:szCs w:val="18"/>
              </w:rPr>
              <w:t>Q-1</w:t>
            </w:r>
          </w:p>
        </w:tc>
        <w:tc>
          <w:tcPr>
            <w:tcW w:w="762" w:type="dxa"/>
            <w:tcBorders>
              <w:top w:val="nil"/>
              <w:left w:val="nil"/>
              <w:bottom w:val="single" w:sz="4" w:space="0" w:color="000000"/>
              <w:right w:val="single" w:sz="4" w:space="0" w:color="000000"/>
            </w:tcBorders>
            <w:shd w:val="clear" w:color="auto" w:fill="A8D08D"/>
            <w:vAlign w:val="center"/>
          </w:tcPr>
          <w:p w14:paraId="17F29400" w14:textId="77777777" w:rsidR="00940635" w:rsidRPr="00D36AFD" w:rsidRDefault="00081B51">
            <w:pPr>
              <w:spacing w:after="0" w:line="240" w:lineRule="auto"/>
              <w:jc w:val="both"/>
              <w:rPr>
                <w:rFonts w:ascii="Times New Roman" w:eastAsia="Times New Roman" w:hAnsi="Times New Roman" w:cs="Times New Roman"/>
                <w:color w:val="000000"/>
                <w:sz w:val="18"/>
                <w:szCs w:val="18"/>
              </w:rPr>
            </w:pPr>
            <w:r w:rsidRPr="00D36AFD">
              <w:rPr>
                <w:rFonts w:ascii="Times New Roman" w:eastAsia="Times New Roman" w:hAnsi="Times New Roman" w:cs="Times New Roman"/>
                <w:color w:val="000000"/>
                <w:sz w:val="18"/>
                <w:szCs w:val="18"/>
              </w:rPr>
              <w:t>Q-2</w:t>
            </w:r>
          </w:p>
        </w:tc>
        <w:tc>
          <w:tcPr>
            <w:tcW w:w="673" w:type="dxa"/>
            <w:tcBorders>
              <w:top w:val="nil"/>
              <w:left w:val="nil"/>
              <w:bottom w:val="single" w:sz="4" w:space="0" w:color="000000"/>
              <w:right w:val="single" w:sz="4" w:space="0" w:color="000000"/>
            </w:tcBorders>
            <w:shd w:val="clear" w:color="auto" w:fill="A8D08D"/>
            <w:vAlign w:val="center"/>
          </w:tcPr>
          <w:p w14:paraId="502483FD" w14:textId="77777777" w:rsidR="00940635" w:rsidRPr="00D36AFD" w:rsidRDefault="00081B51">
            <w:pPr>
              <w:spacing w:after="0" w:line="240" w:lineRule="auto"/>
              <w:jc w:val="both"/>
              <w:rPr>
                <w:rFonts w:ascii="Times New Roman" w:eastAsia="Times New Roman" w:hAnsi="Times New Roman" w:cs="Times New Roman"/>
                <w:color w:val="000000"/>
                <w:sz w:val="18"/>
                <w:szCs w:val="18"/>
              </w:rPr>
            </w:pPr>
            <w:r w:rsidRPr="00D36AFD">
              <w:rPr>
                <w:rFonts w:ascii="Times New Roman" w:eastAsia="Times New Roman" w:hAnsi="Times New Roman" w:cs="Times New Roman"/>
                <w:color w:val="000000"/>
                <w:sz w:val="18"/>
                <w:szCs w:val="18"/>
              </w:rPr>
              <w:t>Q-3</w:t>
            </w:r>
          </w:p>
        </w:tc>
        <w:tc>
          <w:tcPr>
            <w:tcW w:w="698" w:type="dxa"/>
            <w:tcBorders>
              <w:top w:val="nil"/>
              <w:left w:val="nil"/>
              <w:bottom w:val="single" w:sz="4" w:space="0" w:color="000000"/>
              <w:right w:val="single" w:sz="8" w:space="0" w:color="000000"/>
            </w:tcBorders>
            <w:shd w:val="clear" w:color="auto" w:fill="A8D08D"/>
            <w:vAlign w:val="center"/>
          </w:tcPr>
          <w:p w14:paraId="23E85F66" w14:textId="77777777" w:rsidR="00940635" w:rsidRPr="00D36AFD" w:rsidRDefault="00081B51">
            <w:pPr>
              <w:spacing w:after="0" w:line="240" w:lineRule="auto"/>
              <w:jc w:val="both"/>
              <w:rPr>
                <w:rFonts w:ascii="Times New Roman" w:eastAsia="Times New Roman" w:hAnsi="Times New Roman" w:cs="Times New Roman"/>
                <w:color w:val="000000"/>
                <w:sz w:val="18"/>
                <w:szCs w:val="18"/>
              </w:rPr>
            </w:pPr>
            <w:r w:rsidRPr="00D36AFD">
              <w:rPr>
                <w:rFonts w:ascii="Times New Roman" w:eastAsia="Times New Roman" w:hAnsi="Times New Roman" w:cs="Times New Roman"/>
                <w:color w:val="000000"/>
                <w:sz w:val="18"/>
                <w:szCs w:val="18"/>
              </w:rPr>
              <w:t>Q-4</w:t>
            </w:r>
          </w:p>
        </w:tc>
        <w:tc>
          <w:tcPr>
            <w:tcW w:w="729" w:type="dxa"/>
            <w:tcBorders>
              <w:top w:val="nil"/>
              <w:left w:val="single" w:sz="8" w:space="0" w:color="000000"/>
              <w:bottom w:val="single" w:sz="4" w:space="0" w:color="000000"/>
              <w:right w:val="single" w:sz="4" w:space="0" w:color="000000"/>
            </w:tcBorders>
            <w:shd w:val="clear" w:color="auto" w:fill="A8D08D"/>
            <w:vAlign w:val="center"/>
          </w:tcPr>
          <w:p w14:paraId="24A08168" w14:textId="77777777" w:rsidR="00940635" w:rsidRPr="00D36AFD" w:rsidRDefault="00081B51">
            <w:pPr>
              <w:spacing w:after="0" w:line="240" w:lineRule="auto"/>
              <w:jc w:val="both"/>
              <w:rPr>
                <w:rFonts w:ascii="Times New Roman" w:eastAsia="Times New Roman" w:hAnsi="Times New Roman" w:cs="Times New Roman"/>
                <w:color w:val="000000"/>
                <w:sz w:val="18"/>
                <w:szCs w:val="18"/>
              </w:rPr>
            </w:pPr>
            <w:r w:rsidRPr="00D36AFD">
              <w:rPr>
                <w:rFonts w:ascii="Times New Roman" w:eastAsia="Times New Roman" w:hAnsi="Times New Roman" w:cs="Times New Roman"/>
                <w:color w:val="000000"/>
                <w:sz w:val="18"/>
                <w:szCs w:val="18"/>
              </w:rPr>
              <w:t>Q-1</w:t>
            </w:r>
          </w:p>
        </w:tc>
        <w:tc>
          <w:tcPr>
            <w:tcW w:w="673" w:type="dxa"/>
            <w:tcBorders>
              <w:top w:val="nil"/>
              <w:left w:val="nil"/>
              <w:bottom w:val="single" w:sz="4" w:space="0" w:color="000000"/>
              <w:right w:val="single" w:sz="4" w:space="0" w:color="000000"/>
            </w:tcBorders>
            <w:shd w:val="clear" w:color="auto" w:fill="A8D08D"/>
            <w:vAlign w:val="center"/>
          </w:tcPr>
          <w:p w14:paraId="3C9132D8" w14:textId="77777777" w:rsidR="00940635" w:rsidRPr="00D36AFD" w:rsidRDefault="00081B51">
            <w:pPr>
              <w:spacing w:after="0" w:line="240" w:lineRule="auto"/>
              <w:jc w:val="both"/>
              <w:rPr>
                <w:rFonts w:ascii="Times New Roman" w:eastAsia="Times New Roman" w:hAnsi="Times New Roman" w:cs="Times New Roman"/>
                <w:color w:val="000000"/>
                <w:sz w:val="18"/>
                <w:szCs w:val="18"/>
              </w:rPr>
            </w:pPr>
            <w:r w:rsidRPr="00D36AFD">
              <w:rPr>
                <w:rFonts w:ascii="Times New Roman" w:eastAsia="Times New Roman" w:hAnsi="Times New Roman" w:cs="Times New Roman"/>
                <w:color w:val="000000"/>
                <w:sz w:val="18"/>
                <w:szCs w:val="18"/>
              </w:rPr>
              <w:t>Q-2</w:t>
            </w:r>
          </w:p>
        </w:tc>
        <w:tc>
          <w:tcPr>
            <w:tcW w:w="762" w:type="dxa"/>
            <w:tcBorders>
              <w:top w:val="nil"/>
              <w:left w:val="nil"/>
              <w:bottom w:val="single" w:sz="4" w:space="0" w:color="000000"/>
              <w:right w:val="single" w:sz="4" w:space="0" w:color="000000"/>
            </w:tcBorders>
            <w:shd w:val="clear" w:color="auto" w:fill="A8D08D"/>
            <w:vAlign w:val="center"/>
          </w:tcPr>
          <w:p w14:paraId="29586DEC" w14:textId="77777777" w:rsidR="00940635" w:rsidRPr="00D36AFD" w:rsidRDefault="00081B51">
            <w:pPr>
              <w:spacing w:after="0" w:line="240" w:lineRule="auto"/>
              <w:jc w:val="both"/>
              <w:rPr>
                <w:rFonts w:ascii="Times New Roman" w:eastAsia="Times New Roman" w:hAnsi="Times New Roman" w:cs="Times New Roman"/>
                <w:color w:val="000000"/>
                <w:sz w:val="18"/>
                <w:szCs w:val="18"/>
              </w:rPr>
            </w:pPr>
            <w:r w:rsidRPr="00D36AFD">
              <w:rPr>
                <w:rFonts w:ascii="Times New Roman" w:eastAsia="Times New Roman" w:hAnsi="Times New Roman" w:cs="Times New Roman"/>
                <w:color w:val="000000"/>
                <w:sz w:val="18"/>
                <w:szCs w:val="18"/>
              </w:rPr>
              <w:t>Q-3</w:t>
            </w:r>
          </w:p>
        </w:tc>
        <w:tc>
          <w:tcPr>
            <w:tcW w:w="764" w:type="dxa"/>
            <w:tcBorders>
              <w:top w:val="nil"/>
              <w:left w:val="nil"/>
              <w:bottom w:val="single" w:sz="4" w:space="0" w:color="000000"/>
              <w:right w:val="single" w:sz="8" w:space="0" w:color="000000"/>
            </w:tcBorders>
            <w:shd w:val="clear" w:color="auto" w:fill="A8D08D"/>
            <w:vAlign w:val="center"/>
          </w:tcPr>
          <w:p w14:paraId="407DCE53" w14:textId="77777777" w:rsidR="00940635" w:rsidRPr="00D36AFD" w:rsidRDefault="00081B51">
            <w:pPr>
              <w:spacing w:after="0" w:line="240" w:lineRule="auto"/>
              <w:jc w:val="both"/>
              <w:rPr>
                <w:rFonts w:ascii="Times New Roman" w:eastAsia="Times New Roman" w:hAnsi="Times New Roman" w:cs="Times New Roman"/>
                <w:color w:val="000000"/>
                <w:sz w:val="18"/>
                <w:szCs w:val="18"/>
              </w:rPr>
            </w:pPr>
            <w:r w:rsidRPr="00D36AFD">
              <w:rPr>
                <w:rFonts w:ascii="Times New Roman" w:eastAsia="Times New Roman" w:hAnsi="Times New Roman" w:cs="Times New Roman"/>
                <w:color w:val="000000"/>
                <w:sz w:val="18"/>
                <w:szCs w:val="18"/>
              </w:rPr>
              <w:t>Q-4</w:t>
            </w:r>
          </w:p>
        </w:tc>
        <w:tc>
          <w:tcPr>
            <w:tcW w:w="762" w:type="dxa"/>
            <w:tcBorders>
              <w:top w:val="nil"/>
              <w:left w:val="single" w:sz="8" w:space="0" w:color="000000"/>
              <w:bottom w:val="single" w:sz="4" w:space="0" w:color="000000"/>
              <w:right w:val="single" w:sz="4" w:space="0" w:color="000000"/>
            </w:tcBorders>
            <w:shd w:val="clear" w:color="auto" w:fill="A8D08D"/>
            <w:vAlign w:val="center"/>
          </w:tcPr>
          <w:p w14:paraId="35612CF4" w14:textId="77777777" w:rsidR="00940635" w:rsidRPr="00D36AFD" w:rsidRDefault="00081B51">
            <w:pPr>
              <w:spacing w:after="0" w:line="240" w:lineRule="auto"/>
              <w:jc w:val="both"/>
              <w:rPr>
                <w:rFonts w:ascii="Times New Roman" w:eastAsia="Times New Roman" w:hAnsi="Times New Roman" w:cs="Times New Roman"/>
                <w:color w:val="000000"/>
                <w:sz w:val="18"/>
                <w:szCs w:val="18"/>
              </w:rPr>
            </w:pPr>
            <w:r w:rsidRPr="00D36AFD">
              <w:rPr>
                <w:rFonts w:ascii="Times New Roman" w:eastAsia="Times New Roman" w:hAnsi="Times New Roman" w:cs="Times New Roman"/>
                <w:color w:val="000000"/>
                <w:sz w:val="18"/>
                <w:szCs w:val="18"/>
              </w:rPr>
              <w:t>Q-1</w:t>
            </w:r>
          </w:p>
        </w:tc>
        <w:tc>
          <w:tcPr>
            <w:tcW w:w="696" w:type="dxa"/>
            <w:tcBorders>
              <w:top w:val="nil"/>
              <w:left w:val="nil"/>
              <w:bottom w:val="single" w:sz="4" w:space="0" w:color="000000"/>
              <w:right w:val="single" w:sz="4" w:space="0" w:color="000000"/>
            </w:tcBorders>
            <w:shd w:val="clear" w:color="auto" w:fill="A8D08D"/>
            <w:vAlign w:val="center"/>
          </w:tcPr>
          <w:p w14:paraId="6C066E92" w14:textId="77777777" w:rsidR="00940635" w:rsidRPr="00D36AFD" w:rsidRDefault="00081B51">
            <w:pPr>
              <w:spacing w:after="0" w:line="240" w:lineRule="auto"/>
              <w:jc w:val="both"/>
              <w:rPr>
                <w:rFonts w:ascii="Times New Roman" w:eastAsia="Times New Roman" w:hAnsi="Times New Roman" w:cs="Times New Roman"/>
                <w:color w:val="000000"/>
                <w:sz w:val="18"/>
                <w:szCs w:val="18"/>
              </w:rPr>
            </w:pPr>
            <w:r w:rsidRPr="00D36AFD">
              <w:rPr>
                <w:rFonts w:ascii="Times New Roman" w:eastAsia="Times New Roman" w:hAnsi="Times New Roman" w:cs="Times New Roman"/>
                <w:color w:val="000000"/>
                <w:sz w:val="18"/>
                <w:szCs w:val="18"/>
              </w:rPr>
              <w:t>Q-2</w:t>
            </w:r>
          </w:p>
        </w:tc>
        <w:tc>
          <w:tcPr>
            <w:tcW w:w="762" w:type="dxa"/>
            <w:tcBorders>
              <w:top w:val="nil"/>
              <w:left w:val="nil"/>
              <w:bottom w:val="single" w:sz="4" w:space="0" w:color="000000"/>
              <w:right w:val="single" w:sz="4" w:space="0" w:color="000000"/>
            </w:tcBorders>
            <w:shd w:val="clear" w:color="auto" w:fill="A8D08D"/>
            <w:vAlign w:val="center"/>
          </w:tcPr>
          <w:p w14:paraId="4DCCC063" w14:textId="77777777" w:rsidR="00940635" w:rsidRPr="00D36AFD" w:rsidRDefault="00081B51">
            <w:pPr>
              <w:spacing w:after="0" w:line="240" w:lineRule="auto"/>
              <w:jc w:val="both"/>
              <w:rPr>
                <w:rFonts w:ascii="Times New Roman" w:eastAsia="Times New Roman" w:hAnsi="Times New Roman" w:cs="Times New Roman"/>
                <w:color w:val="000000"/>
                <w:sz w:val="18"/>
                <w:szCs w:val="18"/>
              </w:rPr>
            </w:pPr>
            <w:r w:rsidRPr="00D36AFD">
              <w:rPr>
                <w:rFonts w:ascii="Times New Roman" w:eastAsia="Times New Roman" w:hAnsi="Times New Roman" w:cs="Times New Roman"/>
                <w:color w:val="000000"/>
                <w:sz w:val="18"/>
                <w:szCs w:val="18"/>
              </w:rPr>
              <w:t>Q-3</w:t>
            </w:r>
          </w:p>
        </w:tc>
        <w:tc>
          <w:tcPr>
            <w:tcW w:w="673" w:type="dxa"/>
            <w:tcBorders>
              <w:top w:val="nil"/>
              <w:left w:val="nil"/>
              <w:bottom w:val="single" w:sz="4" w:space="0" w:color="000000"/>
              <w:right w:val="single" w:sz="8" w:space="0" w:color="000000"/>
            </w:tcBorders>
            <w:shd w:val="clear" w:color="auto" w:fill="A8D08D"/>
            <w:vAlign w:val="center"/>
          </w:tcPr>
          <w:p w14:paraId="42FD7ECA" w14:textId="77777777" w:rsidR="00940635" w:rsidRPr="00D36AFD" w:rsidRDefault="00081B51">
            <w:pPr>
              <w:spacing w:after="0" w:line="240" w:lineRule="auto"/>
              <w:jc w:val="both"/>
              <w:rPr>
                <w:rFonts w:ascii="Times New Roman" w:eastAsia="Times New Roman" w:hAnsi="Times New Roman" w:cs="Times New Roman"/>
                <w:color w:val="000000"/>
                <w:sz w:val="18"/>
                <w:szCs w:val="18"/>
              </w:rPr>
            </w:pPr>
            <w:r w:rsidRPr="00D36AFD">
              <w:rPr>
                <w:rFonts w:ascii="Times New Roman" w:eastAsia="Times New Roman" w:hAnsi="Times New Roman" w:cs="Times New Roman"/>
                <w:color w:val="000000"/>
                <w:sz w:val="18"/>
                <w:szCs w:val="18"/>
              </w:rPr>
              <w:t>Q-4</w:t>
            </w:r>
          </w:p>
        </w:tc>
      </w:tr>
      <w:tr w:rsidR="00940635" w:rsidRPr="00D36AFD" w14:paraId="5452ED72" w14:textId="77777777">
        <w:trPr>
          <w:gridAfter w:val="1"/>
          <w:wAfter w:w="6" w:type="dxa"/>
          <w:trHeight w:val="476"/>
        </w:trPr>
        <w:tc>
          <w:tcPr>
            <w:tcW w:w="5839" w:type="dxa"/>
            <w:tcBorders>
              <w:top w:val="nil"/>
              <w:left w:val="single" w:sz="8" w:space="0" w:color="000000"/>
              <w:bottom w:val="single" w:sz="4" w:space="0" w:color="000000"/>
              <w:right w:val="single" w:sz="4" w:space="0" w:color="000000"/>
            </w:tcBorders>
            <w:shd w:val="clear" w:color="auto" w:fill="auto"/>
            <w:vAlign w:val="center"/>
          </w:tcPr>
          <w:p w14:paraId="221125C0" w14:textId="77777777" w:rsidR="00940635" w:rsidRPr="00D36AFD" w:rsidRDefault="00081B51">
            <w:pPr>
              <w:spacing w:after="0" w:line="240" w:lineRule="auto"/>
              <w:jc w:val="both"/>
              <w:rPr>
                <w:rFonts w:ascii="Times New Roman" w:eastAsia="Times New Roman" w:hAnsi="Times New Roman" w:cs="Times New Roman"/>
                <w:color w:val="000000"/>
                <w:sz w:val="20"/>
                <w:szCs w:val="20"/>
              </w:rPr>
            </w:pPr>
            <w:r w:rsidRPr="00D36AFD">
              <w:rPr>
                <w:rFonts w:ascii="Times New Roman" w:eastAsia="Times New Roman" w:hAnsi="Times New Roman" w:cs="Times New Roman"/>
                <w:color w:val="000000"/>
                <w:sz w:val="20"/>
                <w:szCs w:val="20"/>
              </w:rPr>
              <w:t>Ethics review and issue of approval</w:t>
            </w:r>
          </w:p>
        </w:tc>
        <w:tc>
          <w:tcPr>
            <w:tcW w:w="728" w:type="dxa"/>
            <w:tcBorders>
              <w:top w:val="nil"/>
              <w:left w:val="nil"/>
              <w:bottom w:val="single" w:sz="4" w:space="0" w:color="000000"/>
              <w:right w:val="single" w:sz="4" w:space="0" w:color="000000"/>
            </w:tcBorders>
            <w:shd w:val="clear" w:color="auto" w:fill="auto"/>
            <w:vAlign w:val="center"/>
          </w:tcPr>
          <w:p w14:paraId="06E2032E"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D0CECE"/>
            <w:vAlign w:val="center"/>
          </w:tcPr>
          <w:p w14:paraId="27A0B9AE"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D0CECE"/>
            <w:vAlign w:val="center"/>
          </w:tcPr>
          <w:p w14:paraId="5C000401"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8" w:type="dxa"/>
            <w:tcBorders>
              <w:top w:val="nil"/>
              <w:left w:val="nil"/>
              <w:bottom w:val="single" w:sz="4" w:space="0" w:color="000000"/>
              <w:right w:val="single" w:sz="8" w:space="0" w:color="000000"/>
            </w:tcBorders>
            <w:shd w:val="clear" w:color="auto" w:fill="D0CECE"/>
            <w:vAlign w:val="center"/>
          </w:tcPr>
          <w:p w14:paraId="07A67242"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29" w:type="dxa"/>
            <w:tcBorders>
              <w:top w:val="nil"/>
              <w:left w:val="single" w:sz="8" w:space="0" w:color="000000"/>
              <w:bottom w:val="single" w:sz="4" w:space="0" w:color="000000"/>
              <w:right w:val="single" w:sz="4" w:space="0" w:color="000000"/>
            </w:tcBorders>
            <w:shd w:val="clear" w:color="auto" w:fill="auto"/>
            <w:vAlign w:val="center"/>
          </w:tcPr>
          <w:p w14:paraId="177A03EE"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3EF56C8C"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6851FB57"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4" w:type="dxa"/>
            <w:tcBorders>
              <w:top w:val="nil"/>
              <w:left w:val="nil"/>
              <w:bottom w:val="single" w:sz="4" w:space="0" w:color="000000"/>
              <w:right w:val="single" w:sz="8" w:space="0" w:color="000000"/>
            </w:tcBorders>
            <w:shd w:val="clear" w:color="auto" w:fill="auto"/>
            <w:vAlign w:val="center"/>
          </w:tcPr>
          <w:p w14:paraId="2C24398F"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single" w:sz="8" w:space="0" w:color="000000"/>
              <w:bottom w:val="single" w:sz="4" w:space="0" w:color="000000"/>
              <w:right w:val="single" w:sz="4" w:space="0" w:color="000000"/>
            </w:tcBorders>
            <w:shd w:val="clear" w:color="auto" w:fill="auto"/>
            <w:vAlign w:val="center"/>
          </w:tcPr>
          <w:p w14:paraId="04C0ED95"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6" w:type="dxa"/>
            <w:tcBorders>
              <w:top w:val="nil"/>
              <w:left w:val="nil"/>
              <w:bottom w:val="single" w:sz="4" w:space="0" w:color="000000"/>
              <w:right w:val="single" w:sz="4" w:space="0" w:color="000000"/>
            </w:tcBorders>
            <w:shd w:val="clear" w:color="auto" w:fill="auto"/>
            <w:vAlign w:val="center"/>
          </w:tcPr>
          <w:p w14:paraId="78671D4E"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26DC31AC"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8" w:space="0" w:color="000000"/>
            </w:tcBorders>
            <w:shd w:val="clear" w:color="auto" w:fill="auto"/>
            <w:vAlign w:val="center"/>
          </w:tcPr>
          <w:p w14:paraId="686A6288"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r>
      <w:tr w:rsidR="00940635" w:rsidRPr="00D36AFD" w14:paraId="0522481F" w14:textId="77777777">
        <w:trPr>
          <w:gridAfter w:val="1"/>
          <w:wAfter w:w="6" w:type="dxa"/>
          <w:trHeight w:val="512"/>
        </w:trPr>
        <w:tc>
          <w:tcPr>
            <w:tcW w:w="5839" w:type="dxa"/>
            <w:tcBorders>
              <w:top w:val="nil"/>
              <w:left w:val="single" w:sz="8" w:space="0" w:color="000000"/>
              <w:bottom w:val="single" w:sz="4" w:space="0" w:color="000000"/>
              <w:right w:val="single" w:sz="4" w:space="0" w:color="000000"/>
            </w:tcBorders>
            <w:shd w:val="clear" w:color="auto" w:fill="auto"/>
            <w:vAlign w:val="center"/>
          </w:tcPr>
          <w:p w14:paraId="0C6C19CA" w14:textId="77777777" w:rsidR="00940635" w:rsidRPr="00D36AFD" w:rsidRDefault="00081B51">
            <w:pPr>
              <w:spacing w:after="0" w:line="240" w:lineRule="auto"/>
              <w:jc w:val="both"/>
              <w:rPr>
                <w:rFonts w:ascii="Times New Roman" w:eastAsia="Times New Roman" w:hAnsi="Times New Roman" w:cs="Times New Roman"/>
                <w:color w:val="000000"/>
                <w:sz w:val="20"/>
                <w:szCs w:val="20"/>
              </w:rPr>
            </w:pPr>
            <w:r w:rsidRPr="00D36AFD">
              <w:rPr>
                <w:rFonts w:ascii="Times New Roman" w:eastAsia="Times New Roman" w:hAnsi="Times New Roman" w:cs="Times New Roman"/>
                <w:color w:val="000000"/>
                <w:sz w:val="20"/>
                <w:szCs w:val="20"/>
              </w:rPr>
              <w:t>Testing the NPM with the general population</w:t>
            </w:r>
          </w:p>
        </w:tc>
        <w:tc>
          <w:tcPr>
            <w:tcW w:w="728" w:type="dxa"/>
            <w:tcBorders>
              <w:top w:val="nil"/>
              <w:left w:val="nil"/>
              <w:bottom w:val="single" w:sz="4" w:space="0" w:color="000000"/>
              <w:right w:val="single" w:sz="4" w:space="0" w:color="000000"/>
            </w:tcBorders>
            <w:shd w:val="clear" w:color="auto" w:fill="auto"/>
            <w:vAlign w:val="center"/>
          </w:tcPr>
          <w:p w14:paraId="2A261906"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129ACF54"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58107C51"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8" w:type="dxa"/>
            <w:tcBorders>
              <w:top w:val="nil"/>
              <w:left w:val="nil"/>
              <w:bottom w:val="single" w:sz="4" w:space="0" w:color="000000"/>
              <w:right w:val="single" w:sz="8" w:space="0" w:color="000000"/>
            </w:tcBorders>
            <w:shd w:val="clear" w:color="auto" w:fill="auto"/>
            <w:vAlign w:val="center"/>
          </w:tcPr>
          <w:p w14:paraId="0B7E0F1D"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29" w:type="dxa"/>
            <w:tcBorders>
              <w:top w:val="nil"/>
              <w:left w:val="single" w:sz="8" w:space="0" w:color="000000"/>
              <w:bottom w:val="single" w:sz="4" w:space="0" w:color="000000"/>
              <w:right w:val="single" w:sz="4" w:space="0" w:color="000000"/>
            </w:tcBorders>
            <w:shd w:val="clear" w:color="auto" w:fill="D0CECE"/>
            <w:vAlign w:val="center"/>
          </w:tcPr>
          <w:p w14:paraId="7E167D49"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D0CECE"/>
            <w:vAlign w:val="center"/>
          </w:tcPr>
          <w:p w14:paraId="3FD14ABD"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5B2CF9D1"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4" w:type="dxa"/>
            <w:tcBorders>
              <w:top w:val="nil"/>
              <w:left w:val="nil"/>
              <w:bottom w:val="single" w:sz="4" w:space="0" w:color="000000"/>
              <w:right w:val="single" w:sz="8" w:space="0" w:color="000000"/>
            </w:tcBorders>
            <w:shd w:val="clear" w:color="auto" w:fill="auto"/>
            <w:vAlign w:val="center"/>
          </w:tcPr>
          <w:p w14:paraId="6778B9DD"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single" w:sz="8" w:space="0" w:color="000000"/>
              <w:bottom w:val="single" w:sz="4" w:space="0" w:color="000000"/>
              <w:right w:val="single" w:sz="4" w:space="0" w:color="000000"/>
            </w:tcBorders>
            <w:shd w:val="clear" w:color="auto" w:fill="auto"/>
            <w:vAlign w:val="center"/>
          </w:tcPr>
          <w:p w14:paraId="1D7F458E"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6" w:type="dxa"/>
            <w:tcBorders>
              <w:top w:val="nil"/>
              <w:left w:val="nil"/>
              <w:bottom w:val="single" w:sz="4" w:space="0" w:color="000000"/>
              <w:right w:val="single" w:sz="4" w:space="0" w:color="000000"/>
            </w:tcBorders>
            <w:shd w:val="clear" w:color="auto" w:fill="auto"/>
            <w:vAlign w:val="center"/>
          </w:tcPr>
          <w:p w14:paraId="369C0C23"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1B8A735C"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8" w:space="0" w:color="000000"/>
            </w:tcBorders>
            <w:shd w:val="clear" w:color="auto" w:fill="auto"/>
            <w:vAlign w:val="center"/>
          </w:tcPr>
          <w:p w14:paraId="29783F54"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r>
      <w:tr w:rsidR="00940635" w:rsidRPr="00D36AFD" w14:paraId="4622A6B6" w14:textId="77777777">
        <w:trPr>
          <w:gridAfter w:val="1"/>
          <w:wAfter w:w="6" w:type="dxa"/>
          <w:trHeight w:val="494"/>
        </w:trPr>
        <w:tc>
          <w:tcPr>
            <w:tcW w:w="5839" w:type="dxa"/>
            <w:tcBorders>
              <w:top w:val="nil"/>
              <w:left w:val="single" w:sz="8" w:space="0" w:color="000000"/>
              <w:bottom w:val="single" w:sz="4" w:space="0" w:color="000000"/>
              <w:right w:val="single" w:sz="4" w:space="0" w:color="000000"/>
            </w:tcBorders>
            <w:shd w:val="clear" w:color="auto" w:fill="auto"/>
            <w:vAlign w:val="center"/>
          </w:tcPr>
          <w:p w14:paraId="0F356F22" w14:textId="77777777" w:rsidR="00940635" w:rsidRPr="00D36AFD" w:rsidRDefault="00081B51">
            <w:pPr>
              <w:spacing w:after="0" w:line="240" w:lineRule="auto"/>
              <w:jc w:val="both"/>
              <w:rPr>
                <w:rFonts w:ascii="Times New Roman" w:eastAsia="Times New Roman" w:hAnsi="Times New Roman" w:cs="Times New Roman"/>
                <w:color w:val="000000"/>
                <w:sz w:val="20"/>
                <w:szCs w:val="20"/>
              </w:rPr>
            </w:pPr>
            <w:r w:rsidRPr="00D36AFD">
              <w:rPr>
                <w:rFonts w:ascii="Times New Roman" w:eastAsia="Times New Roman" w:hAnsi="Times New Roman" w:cs="Times New Roman"/>
                <w:color w:val="000000"/>
                <w:sz w:val="20"/>
                <w:szCs w:val="20"/>
              </w:rPr>
              <w:t>Evaluate front of pack labelling system</w:t>
            </w:r>
          </w:p>
        </w:tc>
        <w:tc>
          <w:tcPr>
            <w:tcW w:w="728" w:type="dxa"/>
            <w:tcBorders>
              <w:top w:val="nil"/>
              <w:left w:val="nil"/>
              <w:bottom w:val="single" w:sz="4" w:space="0" w:color="000000"/>
              <w:right w:val="single" w:sz="4" w:space="0" w:color="000000"/>
            </w:tcBorders>
            <w:shd w:val="clear" w:color="auto" w:fill="auto"/>
            <w:vAlign w:val="center"/>
          </w:tcPr>
          <w:p w14:paraId="0FF522BA"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4A41F5F6"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5F85C7A4"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8" w:type="dxa"/>
            <w:tcBorders>
              <w:top w:val="nil"/>
              <w:left w:val="nil"/>
              <w:bottom w:val="single" w:sz="4" w:space="0" w:color="000000"/>
              <w:right w:val="single" w:sz="8" w:space="0" w:color="000000"/>
            </w:tcBorders>
            <w:shd w:val="clear" w:color="auto" w:fill="auto"/>
            <w:vAlign w:val="center"/>
          </w:tcPr>
          <w:p w14:paraId="2A48C049"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29" w:type="dxa"/>
            <w:tcBorders>
              <w:top w:val="nil"/>
              <w:left w:val="single" w:sz="8" w:space="0" w:color="000000"/>
              <w:bottom w:val="single" w:sz="4" w:space="0" w:color="000000"/>
              <w:right w:val="single" w:sz="4" w:space="0" w:color="000000"/>
            </w:tcBorders>
            <w:shd w:val="clear" w:color="auto" w:fill="D0CECE"/>
            <w:vAlign w:val="center"/>
          </w:tcPr>
          <w:p w14:paraId="440584F7"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D0CECE"/>
            <w:vAlign w:val="center"/>
          </w:tcPr>
          <w:p w14:paraId="22CAC668"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FFFFFF"/>
            <w:vAlign w:val="center"/>
          </w:tcPr>
          <w:p w14:paraId="582A52FB"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4" w:type="dxa"/>
            <w:tcBorders>
              <w:top w:val="nil"/>
              <w:left w:val="nil"/>
              <w:bottom w:val="single" w:sz="4" w:space="0" w:color="000000"/>
              <w:right w:val="single" w:sz="8" w:space="0" w:color="000000"/>
            </w:tcBorders>
            <w:shd w:val="clear" w:color="auto" w:fill="FFFFFF"/>
            <w:vAlign w:val="center"/>
          </w:tcPr>
          <w:p w14:paraId="6ABE40CC"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single" w:sz="8" w:space="0" w:color="000000"/>
              <w:bottom w:val="single" w:sz="4" w:space="0" w:color="000000"/>
              <w:right w:val="single" w:sz="4" w:space="0" w:color="000000"/>
            </w:tcBorders>
            <w:shd w:val="clear" w:color="auto" w:fill="auto"/>
            <w:vAlign w:val="center"/>
          </w:tcPr>
          <w:p w14:paraId="1FC8B53E"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6" w:type="dxa"/>
            <w:tcBorders>
              <w:top w:val="nil"/>
              <w:left w:val="nil"/>
              <w:bottom w:val="single" w:sz="4" w:space="0" w:color="000000"/>
              <w:right w:val="single" w:sz="4" w:space="0" w:color="000000"/>
            </w:tcBorders>
            <w:shd w:val="clear" w:color="auto" w:fill="auto"/>
            <w:vAlign w:val="center"/>
          </w:tcPr>
          <w:p w14:paraId="71DDCAE9"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64BE401B"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8" w:space="0" w:color="000000"/>
            </w:tcBorders>
            <w:shd w:val="clear" w:color="auto" w:fill="auto"/>
            <w:vAlign w:val="center"/>
          </w:tcPr>
          <w:p w14:paraId="71AE4890"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r>
      <w:tr w:rsidR="00940635" w:rsidRPr="00D36AFD" w14:paraId="2A59716B" w14:textId="77777777">
        <w:trPr>
          <w:gridAfter w:val="1"/>
          <w:wAfter w:w="6" w:type="dxa"/>
          <w:trHeight w:val="512"/>
        </w:trPr>
        <w:tc>
          <w:tcPr>
            <w:tcW w:w="5839" w:type="dxa"/>
            <w:tcBorders>
              <w:top w:val="nil"/>
              <w:left w:val="single" w:sz="8" w:space="0" w:color="000000"/>
              <w:bottom w:val="single" w:sz="4" w:space="0" w:color="000000"/>
              <w:right w:val="single" w:sz="4" w:space="0" w:color="000000"/>
            </w:tcBorders>
            <w:shd w:val="clear" w:color="auto" w:fill="auto"/>
            <w:vAlign w:val="center"/>
          </w:tcPr>
          <w:p w14:paraId="3A626B42" w14:textId="77777777" w:rsidR="00940635" w:rsidRPr="00D36AFD" w:rsidRDefault="00081B51">
            <w:pPr>
              <w:spacing w:after="0" w:line="240" w:lineRule="auto"/>
              <w:jc w:val="both"/>
              <w:rPr>
                <w:rFonts w:ascii="Times New Roman" w:eastAsia="Times New Roman" w:hAnsi="Times New Roman" w:cs="Times New Roman"/>
                <w:color w:val="000000"/>
                <w:sz w:val="20"/>
                <w:szCs w:val="20"/>
              </w:rPr>
            </w:pPr>
            <w:r w:rsidRPr="00D36AFD">
              <w:rPr>
                <w:rFonts w:ascii="Times New Roman" w:eastAsia="Times New Roman" w:hAnsi="Times New Roman" w:cs="Times New Roman"/>
                <w:color w:val="000000"/>
                <w:sz w:val="20"/>
                <w:szCs w:val="20"/>
              </w:rPr>
              <w:t>Evaluate policy bundles</w:t>
            </w:r>
          </w:p>
        </w:tc>
        <w:tc>
          <w:tcPr>
            <w:tcW w:w="728" w:type="dxa"/>
            <w:tcBorders>
              <w:top w:val="nil"/>
              <w:left w:val="nil"/>
              <w:bottom w:val="single" w:sz="4" w:space="0" w:color="000000"/>
              <w:right w:val="single" w:sz="4" w:space="0" w:color="000000"/>
            </w:tcBorders>
            <w:shd w:val="clear" w:color="auto" w:fill="auto"/>
            <w:vAlign w:val="center"/>
          </w:tcPr>
          <w:p w14:paraId="6CB9A654"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292EDF2D"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0634822A"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8" w:type="dxa"/>
            <w:tcBorders>
              <w:top w:val="nil"/>
              <w:left w:val="nil"/>
              <w:bottom w:val="single" w:sz="4" w:space="0" w:color="000000"/>
              <w:right w:val="single" w:sz="8" w:space="0" w:color="000000"/>
            </w:tcBorders>
            <w:shd w:val="clear" w:color="auto" w:fill="auto"/>
            <w:vAlign w:val="center"/>
          </w:tcPr>
          <w:p w14:paraId="27723D4E"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29" w:type="dxa"/>
            <w:tcBorders>
              <w:top w:val="nil"/>
              <w:left w:val="single" w:sz="8" w:space="0" w:color="000000"/>
              <w:bottom w:val="single" w:sz="4" w:space="0" w:color="000000"/>
              <w:right w:val="single" w:sz="4" w:space="0" w:color="000000"/>
            </w:tcBorders>
            <w:shd w:val="clear" w:color="auto" w:fill="D0CECE"/>
            <w:vAlign w:val="center"/>
          </w:tcPr>
          <w:p w14:paraId="64A6AE14"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D0CECE"/>
            <w:vAlign w:val="center"/>
          </w:tcPr>
          <w:p w14:paraId="69711FD0"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D0CECE"/>
            <w:vAlign w:val="center"/>
          </w:tcPr>
          <w:p w14:paraId="33DE53A4"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4" w:type="dxa"/>
            <w:tcBorders>
              <w:top w:val="nil"/>
              <w:left w:val="nil"/>
              <w:bottom w:val="single" w:sz="4" w:space="0" w:color="000000"/>
              <w:right w:val="single" w:sz="8" w:space="0" w:color="000000"/>
            </w:tcBorders>
            <w:shd w:val="clear" w:color="auto" w:fill="D0CECE"/>
            <w:vAlign w:val="center"/>
          </w:tcPr>
          <w:p w14:paraId="733B95B0"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single" w:sz="8" w:space="0" w:color="000000"/>
              <w:bottom w:val="single" w:sz="4" w:space="0" w:color="000000"/>
              <w:right w:val="single" w:sz="4" w:space="0" w:color="000000"/>
            </w:tcBorders>
            <w:shd w:val="clear" w:color="auto" w:fill="auto"/>
            <w:vAlign w:val="center"/>
          </w:tcPr>
          <w:p w14:paraId="4FEA7C58"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6" w:type="dxa"/>
            <w:tcBorders>
              <w:top w:val="nil"/>
              <w:left w:val="nil"/>
              <w:bottom w:val="single" w:sz="4" w:space="0" w:color="000000"/>
              <w:right w:val="single" w:sz="4" w:space="0" w:color="000000"/>
            </w:tcBorders>
            <w:shd w:val="clear" w:color="auto" w:fill="auto"/>
            <w:vAlign w:val="center"/>
          </w:tcPr>
          <w:p w14:paraId="71B11C19"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328FED02"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8" w:space="0" w:color="000000"/>
            </w:tcBorders>
            <w:shd w:val="clear" w:color="auto" w:fill="auto"/>
            <w:vAlign w:val="center"/>
          </w:tcPr>
          <w:p w14:paraId="56843E5E"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r>
      <w:tr w:rsidR="00940635" w:rsidRPr="00D36AFD" w14:paraId="708AAC1C" w14:textId="77777777">
        <w:trPr>
          <w:gridAfter w:val="1"/>
          <w:wAfter w:w="6" w:type="dxa"/>
          <w:trHeight w:val="537"/>
        </w:trPr>
        <w:tc>
          <w:tcPr>
            <w:tcW w:w="5839" w:type="dxa"/>
            <w:tcBorders>
              <w:top w:val="nil"/>
              <w:left w:val="single" w:sz="8" w:space="0" w:color="000000"/>
              <w:bottom w:val="single" w:sz="4" w:space="0" w:color="000000"/>
              <w:right w:val="single" w:sz="4" w:space="0" w:color="000000"/>
            </w:tcBorders>
            <w:shd w:val="clear" w:color="auto" w:fill="auto"/>
            <w:vAlign w:val="center"/>
          </w:tcPr>
          <w:p w14:paraId="4460E479" w14:textId="77777777" w:rsidR="00940635" w:rsidRPr="00D36AFD" w:rsidRDefault="00081B51">
            <w:pPr>
              <w:spacing w:after="0" w:line="240" w:lineRule="auto"/>
              <w:jc w:val="both"/>
              <w:rPr>
                <w:rFonts w:ascii="Times New Roman" w:eastAsia="Times New Roman" w:hAnsi="Times New Roman" w:cs="Times New Roman"/>
                <w:color w:val="000000"/>
                <w:sz w:val="20"/>
                <w:szCs w:val="20"/>
              </w:rPr>
            </w:pPr>
            <w:r w:rsidRPr="00D36AFD">
              <w:rPr>
                <w:rFonts w:ascii="Times New Roman" w:eastAsia="Times New Roman" w:hAnsi="Times New Roman" w:cs="Times New Roman"/>
                <w:color w:val="000000"/>
                <w:sz w:val="20"/>
                <w:szCs w:val="20"/>
              </w:rPr>
              <w:t>Stakeholder mapping and desk-review of policies</w:t>
            </w:r>
          </w:p>
        </w:tc>
        <w:tc>
          <w:tcPr>
            <w:tcW w:w="728" w:type="dxa"/>
            <w:tcBorders>
              <w:top w:val="nil"/>
              <w:left w:val="nil"/>
              <w:bottom w:val="single" w:sz="4" w:space="0" w:color="000000"/>
              <w:right w:val="single" w:sz="4" w:space="0" w:color="000000"/>
            </w:tcBorders>
            <w:shd w:val="clear" w:color="auto" w:fill="auto"/>
            <w:vAlign w:val="center"/>
          </w:tcPr>
          <w:p w14:paraId="5429BE30"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6072152C"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D0CECE"/>
            <w:vAlign w:val="center"/>
          </w:tcPr>
          <w:p w14:paraId="13A31BBE"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8" w:type="dxa"/>
            <w:tcBorders>
              <w:top w:val="nil"/>
              <w:left w:val="nil"/>
              <w:bottom w:val="single" w:sz="4" w:space="0" w:color="000000"/>
              <w:right w:val="single" w:sz="8" w:space="0" w:color="000000"/>
            </w:tcBorders>
            <w:shd w:val="clear" w:color="auto" w:fill="D0CECE"/>
            <w:vAlign w:val="center"/>
          </w:tcPr>
          <w:p w14:paraId="736C0AEE"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29" w:type="dxa"/>
            <w:tcBorders>
              <w:top w:val="nil"/>
              <w:left w:val="single" w:sz="8" w:space="0" w:color="000000"/>
              <w:bottom w:val="single" w:sz="4" w:space="0" w:color="000000"/>
              <w:right w:val="single" w:sz="4" w:space="0" w:color="000000"/>
            </w:tcBorders>
            <w:shd w:val="clear" w:color="auto" w:fill="auto"/>
            <w:vAlign w:val="center"/>
          </w:tcPr>
          <w:p w14:paraId="12EC5489"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0F73B9DB"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65ADAEDE"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4" w:type="dxa"/>
            <w:tcBorders>
              <w:top w:val="nil"/>
              <w:left w:val="nil"/>
              <w:bottom w:val="single" w:sz="4" w:space="0" w:color="000000"/>
              <w:right w:val="single" w:sz="8" w:space="0" w:color="000000"/>
            </w:tcBorders>
            <w:shd w:val="clear" w:color="auto" w:fill="auto"/>
            <w:vAlign w:val="center"/>
          </w:tcPr>
          <w:p w14:paraId="531A7036"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single" w:sz="8" w:space="0" w:color="000000"/>
              <w:bottom w:val="single" w:sz="4" w:space="0" w:color="000000"/>
              <w:right w:val="single" w:sz="4" w:space="0" w:color="000000"/>
            </w:tcBorders>
            <w:shd w:val="clear" w:color="auto" w:fill="auto"/>
            <w:vAlign w:val="center"/>
          </w:tcPr>
          <w:p w14:paraId="384FA13B"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6" w:type="dxa"/>
            <w:tcBorders>
              <w:top w:val="nil"/>
              <w:left w:val="nil"/>
              <w:bottom w:val="single" w:sz="4" w:space="0" w:color="000000"/>
              <w:right w:val="single" w:sz="4" w:space="0" w:color="000000"/>
            </w:tcBorders>
            <w:shd w:val="clear" w:color="auto" w:fill="auto"/>
            <w:vAlign w:val="center"/>
          </w:tcPr>
          <w:p w14:paraId="61E93790"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4B057511"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8" w:space="0" w:color="000000"/>
            </w:tcBorders>
            <w:shd w:val="clear" w:color="auto" w:fill="auto"/>
            <w:vAlign w:val="center"/>
          </w:tcPr>
          <w:p w14:paraId="2B68DA47"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r>
      <w:tr w:rsidR="00940635" w:rsidRPr="00D36AFD" w14:paraId="70D46B6B" w14:textId="77777777">
        <w:trPr>
          <w:gridAfter w:val="1"/>
          <w:wAfter w:w="6" w:type="dxa"/>
          <w:trHeight w:val="502"/>
        </w:trPr>
        <w:tc>
          <w:tcPr>
            <w:tcW w:w="5839" w:type="dxa"/>
            <w:tcBorders>
              <w:top w:val="nil"/>
              <w:left w:val="single" w:sz="8" w:space="0" w:color="000000"/>
              <w:bottom w:val="single" w:sz="4" w:space="0" w:color="000000"/>
              <w:right w:val="single" w:sz="4" w:space="0" w:color="000000"/>
            </w:tcBorders>
            <w:shd w:val="clear" w:color="auto" w:fill="auto"/>
            <w:vAlign w:val="center"/>
          </w:tcPr>
          <w:p w14:paraId="12F9919B" w14:textId="77777777" w:rsidR="00940635" w:rsidRPr="00D36AFD" w:rsidRDefault="00081B51">
            <w:pPr>
              <w:spacing w:after="0" w:line="240" w:lineRule="auto"/>
              <w:jc w:val="both"/>
              <w:rPr>
                <w:rFonts w:ascii="Times New Roman" w:eastAsia="Times New Roman" w:hAnsi="Times New Roman" w:cs="Times New Roman"/>
                <w:color w:val="000000"/>
                <w:sz w:val="20"/>
                <w:szCs w:val="20"/>
              </w:rPr>
            </w:pPr>
            <w:r w:rsidRPr="00D36AFD">
              <w:rPr>
                <w:rFonts w:ascii="Times New Roman" w:eastAsia="Times New Roman" w:hAnsi="Times New Roman" w:cs="Times New Roman"/>
                <w:color w:val="000000"/>
                <w:sz w:val="20"/>
                <w:szCs w:val="20"/>
              </w:rPr>
              <w:t>Qualitative reviews with relevant actors</w:t>
            </w:r>
          </w:p>
        </w:tc>
        <w:tc>
          <w:tcPr>
            <w:tcW w:w="728" w:type="dxa"/>
            <w:tcBorders>
              <w:top w:val="nil"/>
              <w:left w:val="nil"/>
              <w:bottom w:val="single" w:sz="4" w:space="0" w:color="000000"/>
              <w:right w:val="single" w:sz="4" w:space="0" w:color="000000"/>
            </w:tcBorders>
            <w:shd w:val="clear" w:color="auto" w:fill="auto"/>
            <w:vAlign w:val="center"/>
          </w:tcPr>
          <w:p w14:paraId="0B539C49"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219F601B"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7A36BF80"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8" w:type="dxa"/>
            <w:tcBorders>
              <w:top w:val="nil"/>
              <w:left w:val="nil"/>
              <w:bottom w:val="single" w:sz="4" w:space="0" w:color="000000"/>
              <w:right w:val="single" w:sz="8" w:space="0" w:color="000000"/>
            </w:tcBorders>
            <w:shd w:val="clear" w:color="auto" w:fill="auto"/>
            <w:vAlign w:val="center"/>
          </w:tcPr>
          <w:p w14:paraId="215D8D95"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29" w:type="dxa"/>
            <w:tcBorders>
              <w:top w:val="nil"/>
              <w:left w:val="single" w:sz="8" w:space="0" w:color="000000"/>
              <w:bottom w:val="single" w:sz="4" w:space="0" w:color="000000"/>
              <w:right w:val="single" w:sz="4" w:space="0" w:color="000000"/>
            </w:tcBorders>
            <w:shd w:val="clear" w:color="auto" w:fill="D0CECE"/>
            <w:vAlign w:val="center"/>
          </w:tcPr>
          <w:p w14:paraId="1D0D5F2E"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D0CECE"/>
            <w:vAlign w:val="center"/>
          </w:tcPr>
          <w:p w14:paraId="25091738"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D0CECE"/>
            <w:vAlign w:val="center"/>
          </w:tcPr>
          <w:p w14:paraId="68CC78F6"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4" w:type="dxa"/>
            <w:tcBorders>
              <w:top w:val="nil"/>
              <w:left w:val="nil"/>
              <w:bottom w:val="single" w:sz="4" w:space="0" w:color="000000"/>
              <w:right w:val="single" w:sz="8" w:space="0" w:color="000000"/>
            </w:tcBorders>
            <w:shd w:val="clear" w:color="auto" w:fill="D0CECE"/>
            <w:vAlign w:val="center"/>
          </w:tcPr>
          <w:p w14:paraId="0749695C"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single" w:sz="8" w:space="0" w:color="000000"/>
              <w:bottom w:val="single" w:sz="4" w:space="0" w:color="000000"/>
              <w:right w:val="single" w:sz="4" w:space="0" w:color="000000"/>
            </w:tcBorders>
            <w:shd w:val="clear" w:color="auto" w:fill="auto"/>
            <w:vAlign w:val="center"/>
          </w:tcPr>
          <w:p w14:paraId="265BA8CB"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6" w:type="dxa"/>
            <w:tcBorders>
              <w:top w:val="nil"/>
              <w:left w:val="nil"/>
              <w:bottom w:val="single" w:sz="4" w:space="0" w:color="000000"/>
              <w:right w:val="single" w:sz="4" w:space="0" w:color="000000"/>
            </w:tcBorders>
            <w:shd w:val="clear" w:color="auto" w:fill="auto"/>
            <w:vAlign w:val="center"/>
          </w:tcPr>
          <w:p w14:paraId="25673A55"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04358668"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8" w:space="0" w:color="000000"/>
            </w:tcBorders>
            <w:shd w:val="clear" w:color="auto" w:fill="auto"/>
            <w:vAlign w:val="center"/>
          </w:tcPr>
          <w:p w14:paraId="1471E7C0"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r>
      <w:tr w:rsidR="00940635" w:rsidRPr="00D36AFD" w14:paraId="7A6E249F" w14:textId="77777777">
        <w:trPr>
          <w:gridAfter w:val="1"/>
          <w:wAfter w:w="6" w:type="dxa"/>
          <w:trHeight w:val="441"/>
        </w:trPr>
        <w:tc>
          <w:tcPr>
            <w:tcW w:w="5839" w:type="dxa"/>
            <w:tcBorders>
              <w:top w:val="nil"/>
              <w:left w:val="single" w:sz="8" w:space="0" w:color="000000"/>
              <w:bottom w:val="single" w:sz="4" w:space="0" w:color="000000"/>
              <w:right w:val="single" w:sz="4" w:space="0" w:color="000000"/>
            </w:tcBorders>
            <w:shd w:val="clear" w:color="auto" w:fill="auto"/>
            <w:vAlign w:val="center"/>
          </w:tcPr>
          <w:p w14:paraId="2029CA54" w14:textId="77777777" w:rsidR="00940635" w:rsidRPr="00D36AFD" w:rsidRDefault="00081B51">
            <w:pPr>
              <w:spacing w:after="0" w:line="240" w:lineRule="auto"/>
              <w:jc w:val="both"/>
              <w:rPr>
                <w:rFonts w:ascii="Times New Roman" w:eastAsia="Times New Roman" w:hAnsi="Times New Roman" w:cs="Times New Roman"/>
                <w:color w:val="000000"/>
                <w:sz w:val="20"/>
                <w:szCs w:val="20"/>
              </w:rPr>
            </w:pPr>
            <w:r w:rsidRPr="00D36AFD">
              <w:rPr>
                <w:rFonts w:ascii="Times New Roman" w:eastAsia="Times New Roman" w:hAnsi="Times New Roman" w:cs="Times New Roman"/>
                <w:color w:val="000000"/>
                <w:sz w:val="20"/>
                <w:szCs w:val="20"/>
              </w:rPr>
              <w:t>Analysis of relevant existing secondary datasets</w:t>
            </w:r>
          </w:p>
        </w:tc>
        <w:tc>
          <w:tcPr>
            <w:tcW w:w="728" w:type="dxa"/>
            <w:tcBorders>
              <w:top w:val="nil"/>
              <w:left w:val="nil"/>
              <w:bottom w:val="single" w:sz="4" w:space="0" w:color="000000"/>
              <w:right w:val="single" w:sz="4" w:space="0" w:color="000000"/>
            </w:tcBorders>
            <w:shd w:val="clear" w:color="auto" w:fill="auto"/>
            <w:vAlign w:val="center"/>
          </w:tcPr>
          <w:p w14:paraId="7E43C610"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D0CECE"/>
            <w:vAlign w:val="center"/>
          </w:tcPr>
          <w:p w14:paraId="091253F2"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D0CECE"/>
            <w:vAlign w:val="center"/>
          </w:tcPr>
          <w:p w14:paraId="1F2B0F68"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8" w:type="dxa"/>
            <w:tcBorders>
              <w:top w:val="nil"/>
              <w:left w:val="nil"/>
              <w:bottom w:val="single" w:sz="4" w:space="0" w:color="000000"/>
              <w:right w:val="single" w:sz="8" w:space="0" w:color="000000"/>
            </w:tcBorders>
            <w:shd w:val="clear" w:color="auto" w:fill="D0CECE"/>
            <w:vAlign w:val="center"/>
          </w:tcPr>
          <w:p w14:paraId="51FACDDD"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29" w:type="dxa"/>
            <w:tcBorders>
              <w:top w:val="nil"/>
              <w:left w:val="single" w:sz="8" w:space="0" w:color="000000"/>
              <w:bottom w:val="single" w:sz="4" w:space="0" w:color="000000"/>
              <w:right w:val="single" w:sz="4" w:space="0" w:color="000000"/>
            </w:tcBorders>
            <w:shd w:val="clear" w:color="auto" w:fill="auto"/>
            <w:vAlign w:val="center"/>
          </w:tcPr>
          <w:p w14:paraId="1DB88342"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4A904B00"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1C9A188B"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4" w:type="dxa"/>
            <w:tcBorders>
              <w:top w:val="nil"/>
              <w:left w:val="nil"/>
              <w:bottom w:val="single" w:sz="4" w:space="0" w:color="000000"/>
              <w:right w:val="single" w:sz="8" w:space="0" w:color="000000"/>
            </w:tcBorders>
            <w:shd w:val="clear" w:color="auto" w:fill="auto"/>
            <w:vAlign w:val="center"/>
          </w:tcPr>
          <w:p w14:paraId="5EAC424B"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single" w:sz="8" w:space="0" w:color="000000"/>
              <w:bottom w:val="single" w:sz="4" w:space="0" w:color="000000"/>
              <w:right w:val="single" w:sz="4" w:space="0" w:color="000000"/>
            </w:tcBorders>
            <w:shd w:val="clear" w:color="auto" w:fill="auto"/>
            <w:vAlign w:val="center"/>
          </w:tcPr>
          <w:p w14:paraId="1178211F"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6" w:type="dxa"/>
            <w:tcBorders>
              <w:top w:val="nil"/>
              <w:left w:val="nil"/>
              <w:bottom w:val="single" w:sz="4" w:space="0" w:color="000000"/>
              <w:right w:val="single" w:sz="4" w:space="0" w:color="000000"/>
            </w:tcBorders>
            <w:shd w:val="clear" w:color="auto" w:fill="auto"/>
            <w:vAlign w:val="center"/>
          </w:tcPr>
          <w:p w14:paraId="489B6EFD"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0DFDB9C1"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8" w:space="0" w:color="000000"/>
            </w:tcBorders>
            <w:shd w:val="clear" w:color="auto" w:fill="auto"/>
            <w:vAlign w:val="center"/>
          </w:tcPr>
          <w:p w14:paraId="59CBCC6C"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r>
      <w:tr w:rsidR="00940635" w:rsidRPr="00D36AFD" w14:paraId="46144ECF" w14:textId="77777777">
        <w:trPr>
          <w:gridAfter w:val="1"/>
          <w:wAfter w:w="6" w:type="dxa"/>
          <w:trHeight w:val="416"/>
        </w:trPr>
        <w:tc>
          <w:tcPr>
            <w:tcW w:w="5839" w:type="dxa"/>
            <w:tcBorders>
              <w:top w:val="nil"/>
              <w:left w:val="single" w:sz="8" w:space="0" w:color="000000"/>
              <w:bottom w:val="single" w:sz="4" w:space="0" w:color="000000"/>
              <w:right w:val="single" w:sz="4" w:space="0" w:color="000000"/>
            </w:tcBorders>
            <w:shd w:val="clear" w:color="auto" w:fill="auto"/>
            <w:vAlign w:val="center"/>
          </w:tcPr>
          <w:p w14:paraId="6E7FDC59" w14:textId="77777777" w:rsidR="00940635" w:rsidRPr="00D36AFD" w:rsidRDefault="00081B51">
            <w:pPr>
              <w:spacing w:after="0" w:line="240" w:lineRule="auto"/>
              <w:jc w:val="both"/>
              <w:rPr>
                <w:rFonts w:ascii="Times New Roman" w:eastAsia="Times New Roman" w:hAnsi="Times New Roman" w:cs="Times New Roman"/>
                <w:color w:val="000000"/>
                <w:sz w:val="20"/>
                <w:szCs w:val="20"/>
              </w:rPr>
            </w:pPr>
            <w:r w:rsidRPr="00D36AFD">
              <w:rPr>
                <w:rFonts w:ascii="Times New Roman" w:eastAsia="Times New Roman" w:hAnsi="Times New Roman" w:cs="Times New Roman"/>
                <w:color w:val="000000"/>
                <w:sz w:val="20"/>
                <w:szCs w:val="20"/>
              </w:rPr>
              <w:t>Systems dynamics modelling</w:t>
            </w:r>
          </w:p>
        </w:tc>
        <w:tc>
          <w:tcPr>
            <w:tcW w:w="728" w:type="dxa"/>
            <w:tcBorders>
              <w:top w:val="nil"/>
              <w:left w:val="nil"/>
              <w:bottom w:val="single" w:sz="4" w:space="0" w:color="000000"/>
              <w:right w:val="single" w:sz="4" w:space="0" w:color="000000"/>
            </w:tcBorders>
            <w:shd w:val="clear" w:color="auto" w:fill="auto"/>
            <w:vAlign w:val="center"/>
          </w:tcPr>
          <w:p w14:paraId="3A353473"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2629EBD5"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31490BDE"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8" w:type="dxa"/>
            <w:tcBorders>
              <w:top w:val="nil"/>
              <w:left w:val="nil"/>
              <w:bottom w:val="single" w:sz="4" w:space="0" w:color="000000"/>
              <w:right w:val="single" w:sz="8" w:space="0" w:color="000000"/>
            </w:tcBorders>
            <w:shd w:val="clear" w:color="auto" w:fill="auto"/>
            <w:vAlign w:val="center"/>
          </w:tcPr>
          <w:p w14:paraId="5A59140C"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29" w:type="dxa"/>
            <w:tcBorders>
              <w:top w:val="nil"/>
              <w:left w:val="single" w:sz="8" w:space="0" w:color="000000"/>
              <w:bottom w:val="single" w:sz="4" w:space="0" w:color="000000"/>
              <w:right w:val="single" w:sz="4" w:space="0" w:color="000000"/>
            </w:tcBorders>
            <w:shd w:val="clear" w:color="auto" w:fill="D0CECE"/>
            <w:vAlign w:val="center"/>
          </w:tcPr>
          <w:p w14:paraId="2662E661"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D0CECE"/>
            <w:vAlign w:val="center"/>
          </w:tcPr>
          <w:p w14:paraId="3B2CDECC"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D0CECE"/>
            <w:vAlign w:val="center"/>
          </w:tcPr>
          <w:p w14:paraId="436BFD7E"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4" w:type="dxa"/>
            <w:tcBorders>
              <w:top w:val="nil"/>
              <w:left w:val="nil"/>
              <w:bottom w:val="single" w:sz="4" w:space="0" w:color="000000"/>
              <w:right w:val="single" w:sz="8" w:space="0" w:color="000000"/>
            </w:tcBorders>
            <w:shd w:val="clear" w:color="auto" w:fill="D0CECE"/>
            <w:vAlign w:val="center"/>
          </w:tcPr>
          <w:p w14:paraId="20E8AC42"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single" w:sz="8" w:space="0" w:color="000000"/>
              <w:bottom w:val="single" w:sz="4" w:space="0" w:color="000000"/>
              <w:right w:val="single" w:sz="4" w:space="0" w:color="000000"/>
            </w:tcBorders>
            <w:shd w:val="clear" w:color="auto" w:fill="auto"/>
            <w:vAlign w:val="center"/>
          </w:tcPr>
          <w:p w14:paraId="19251F85"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6" w:type="dxa"/>
            <w:tcBorders>
              <w:top w:val="nil"/>
              <w:left w:val="nil"/>
              <w:bottom w:val="single" w:sz="4" w:space="0" w:color="000000"/>
              <w:right w:val="single" w:sz="4" w:space="0" w:color="000000"/>
            </w:tcBorders>
            <w:shd w:val="clear" w:color="auto" w:fill="auto"/>
            <w:vAlign w:val="center"/>
          </w:tcPr>
          <w:p w14:paraId="4036E5FE"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15220F5A"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8" w:space="0" w:color="000000"/>
            </w:tcBorders>
            <w:shd w:val="clear" w:color="auto" w:fill="auto"/>
            <w:vAlign w:val="center"/>
          </w:tcPr>
          <w:p w14:paraId="56B3AD83"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r>
      <w:tr w:rsidR="00940635" w:rsidRPr="00D36AFD" w14:paraId="359E27C0" w14:textId="77777777">
        <w:trPr>
          <w:gridAfter w:val="1"/>
          <w:wAfter w:w="6" w:type="dxa"/>
          <w:trHeight w:val="451"/>
        </w:trPr>
        <w:tc>
          <w:tcPr>
            <w:tcW w:w="5839" w:type="dxa"/>
            <w:tcBorders>
              <w:top w:val="nil"/>
              <w:left w:val="single" w:sz="8" w:space="0" w:color="000000"/>
              <w:bottom w:val="single" w:sz="4" w:space="0" w:color="000000"/>
              <w:right w:val="single" w:sz="4" w:space="0" w:color="000000"/>
            </w:tcBorders>
            <w:shd w:val="clear" w:color="auto" w:fill="auto"/>
            <w:vAlign w:val="center"/>
          </w:tcPr>
          <w:p w14:paraId="14203B56" w14:textId="77777777" w:rsidR="00940635" w:rsidRPr="00D36AFD" w:rsidRDefault="00081B51">
            <w:pPr>
              <w:spacing w:after="0" w:line="240" w:lineRule="auto"/>
              <w:jc w:val="both"/>
              <w:rPr>
                <w:rFonts w:ascii="Times New Roman" w:eastAsia="Times New Roman" w:hAnsi="Times New Roman" w:cs="Times New Roman"/>
                <w:color w:val="000000"/>
                <w:sz w:val="20"/>
                <w:szCs w:val="20"/>
              </w:rPr>
            </w:pPr>
            <w:r w:rsidRPr="00D36AFD">
              <w:rPr>
                <w:rFonts w:ascii="Times New Roman" w:eastAsia="Times New Roman" w:hAnsi="Times New Roman" w:cs="Times New Roman"/>
                <w:color w:val="000000"/>
                <w:sz w:val="20"/>
                <w:szCs w:val="20"/>
              </w:rPr>
              <w:t>Reports, dissemination, policy briefs and engagement meetings</w:t>
            </w:r>
          </w:p>
        </w:tc>
        <w:tc>
          <w:tcPr>
            <w:tcW w:w="728" w:type="dxa"/>
            <w:tcBorders>
              <w:top w:val="nil"/>
              <w:left w:val="nil"/>
              <w:bottom w:val="single" w:sz="4" w:space="0" w:color="000000"/>
              <w:right w:val="single" w:sz="4" w:space="0" w:color="000000"/>
            </w:tcBorders>
            <w:shd w:val="clear" w:color="auto" w:fill="auto"/>
            <w:vAlign w:val="center"/>
          </w:tcPr>
          <w:p w14:paraId="33910771"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5DD7528A"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288665D4"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8" w:type="dxa"/>
            <w:tcBorders>
              <w:top w:val="nil"/>
              <w:left w:val="nil"/>
              <w:bottom w:val="single" w:sz="4" w:space="0" w:color="000000"/>
              <w:right w:val="single" w:sz="8" w:space="0" w:color="000000"/>
            </w:tcBorders>
            <w:shd w:val="clear" w:color="auto" w:fill="auto"/>
            <w:vAlign w:val="center"/>
          </w:tcPr>
          <w:p w14:paraId="46FD4CDB"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29" w:type="dxa"/>
            <w:tcBorders>
              <w:top w:val="nil"/>
              <w:left w:val="single" w:sz="8" w:space="0" w:color="000000"/>
              <w:bottom w:val="single" w:sz="4" w:space="0" w:color="000000"/>
              <w:right w:val="single" w:sz="4" w:space="0" w:color="000000"/>
            </w:tcBorders>
            <w:shd w:val="clear" w:color="auto" w:fill="auto"/>
            <w:vAlign w:val="center"/>
          </w:tcPr>
          <w:p w14:paraId="7E7A5B66"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37116333"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D0CECE"/>
            <w:vAlign w:val="center"/>
          </w:tcPr>
          <w:p w14:paraId="31175AD8"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4" w:type="dxa"/>
            <w:tcBorders>
              <w:top w:val="nil"/>
              <w:left w:val="nil"/>
              <w:bottom w:val="single" w:sz="4" w:space="0" w:color="000000"/>
              <w:right w:val="single" w:sz="8" w:space="0" w:color="000000"/>
            </w:tcBorders>
            <w:shd w:val="clear" w:color="auto" w:fill="D0CECE"/>
            <w:vAlign w:val="center"/>
          </w:tcPr>
          <w:p w14:paraId="6804D699"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single" w:sz="8" w:space="0" w:color="000000"/>
              <w:bottom w:val="single" w:sz="4" w:space="0" w:color="000000"/>
              <w:right w:val="single" w:sz="4" w:space="0" w:color="000000"/>
            </w:tcBorders>
            <w:shd w:val="clear" w:color="auto" w:fill="D0CECE"/>
            <w:vAlign w:val="center"/>
          </w:tcPr>
          <w:p w14:paraId="1CA9AC63"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6" w:type="dxa"/>
            <w:tcBorders>
              <w:top w:val="nil"/>
              <w:left w:val="nil"/>
              <w:bottom w:val="single" w:sz="4" w:space="0" w:color="000000"/>
              <w:right w:val="single" w:sz="4" w:space="0" w:color="000000"/>
            </w:tcBorders>
            <w:shd w:val="clear" w:color="auto" w:fill="D0CECE"/>
            <w:vAlign w:val="center"/>
          </w:tcPr>
          <w:p w14:paraId="34470EA8"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D0CECE"/>
            <w:vAlign w:val="center"/>
          </w:tcPr>
          <w:p w14:paraId="250A21D1"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4" w:space="0" w:color="000000"/>
              <w:right w:val="single" w:sz="8" w:space="0" w:color="000000"/>
            </w:tcBorders>
            <w:shd w:val="clear" w:color="auto" w:fill="D0CECE"/>
            <w:vAlign w:val="center"/>
          </w:tcPr>
          <w:p w14:paraId="10C02027"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r>
      <w:tr w:rsidR="00940635" w:rsidRPr="00D36AFD" w14:paraId="03AA5425" w14:textId="77777777">
        <w:trPr>
          <w:gridAfter w:val="1"/>
          <w:wAfter w:w="6" w:type="dxa"/>
          <w:trHeight w:val="416"/>
        </w:trPr>
        <w:tc>
          <w:tcPr>
            <w:tcW w:w="5839" w:type="dxa"/>
            <w:tcBorders>
              <w:top w:val="nil"/>
              <w:left w:val="single" w:sz="8" w:space="0" w:color="000000"/>
              <w:bottom w:val="single" w:sz="8" w:space="0" w:color="000000"/>
              <w:right w:val="single" w:sz="4" w:space="0" w:color="000000"/>
            </w:tcBorders>
            <w:shd w:val="clear" w:color="auto" w:fill="auto"/>
            <w:vAlign w:val="center"/>
          </w:tcPr>
          <w:p w14:paraId="0F67B157" w14:textId="77777777" w:rsidR="00940635" w:rsidRPr="00D36AFD" w:rsidRDefault="00081B51">
            <w:pPr>
              <w:spacing w:after="0" w:line="240" w:lineRule="auto"/>
              <w:jc w:val="both"/>
              <w:rPr>
                <w:rFonts w:ascii="Times New Roman" w:eastAsia="Times New Roman" w:hAnsi="Times New Roman" w:cs="Times New Roman"/>
                <w:color w:val="000000"/>
                <w:sz w:val="20"/>
                <w:szCs w:val="20"/>
              </w:rPr>
            </w:pPr>
            <w:r w:rsidRPr="00D36AFD">
              <w:rPr>
                <w:rFonts w:ascii="Times New Roman" w:eastAsia="Times New Roman" w:hAnsi="Times New Roman" w:cs="Times New Roman"/>
                <w:color w:val="000000"/>
                <w:sz w:val="20"/>
                <w:szCs w:val="20"/>
              </w:rPr>
              <w:t>Dissemination meeting and research uptake</w:t>
            </w:r>
          </w:p>
        </w:tc>
        <w:tc>
          <w:tcPr>
            <w:tcW w:w="728" w:type="dxa"/>
            <w:tcBorders>
              <w:top w:val="nil"/>
              <w:left w:val="nil"/>
              <w:bottom w:val="single" w:sz="8" w:space="0" w:color="000000"/>
              <w:right w:val="single" w:sz="4" w:space="0" w:color="000000"/>
            </w:tcBorders>
            <w:shd w:val="clear" w:color="auto" w:fill="auto"/>
            <w:vAlign w:val="center"/>
          </w:tcPr>
          <w:p w14:paraId="180B201D"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8" w:space="0" w:color="000000"/>
              <w:right w:val="single" w:sz="4" w:space="0" w:color="000000"/>
            </w:tcBorders>
            <w:shd w:val="clear" w:color="auto" w:fill="auto"/>
            <w:vAlign w:val="center"/>
          </w:tcPr>
          <w:p w14:paraId="7DDBB347"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8" w:space="0" w:color="000000"/>
              <w:right w:val="single" w:sz="4" w:space="0" w:color="000000"/>
            </w:tcBorders>
            <w:shd w:val="clear" w:color="auto" w:fill="auto"/>
            <w:vAlign w:val="center"/>
          </w:tcPr>
          <w:p w14:paraId="70799437"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8" w:type="dxa"/>
            <w:tcBorders>
              <w:top w:val="nil"/>
              <w:left w:val="nil"/>
              <w:bottom w:val="single" w:sz="8" w:space="0" w:color="000000"/>
              <w:right w:val="single" w:sz="8" w:space="0" w:color="000000"/>
            </w:tcBorders>
            <w:shd w:val="clear" w:color="auto" w:fill="auto"/>
            <w:vAlign w:val="center"/>
          </w:tcPr>
          <w:p w14:paraId="0337F1B4"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29" w:type="dxa"/>
            <w:tcBorders>
              <w:top w:val="nil"/>
              <w:left w:val="single" w:sz="8" w:space="0" w:color="000000"/>
              <w:bottom w:val="single" w:sz="8" w:space="0" w:color="000000"/>
              <w:right w:val="single" w:sz="4" w:space="0" w:color="000000"/>
            </w:tcBorders>
            <w:shd w:val="clear" w:color="auto" w:fill="auto"/>
            <w:vAlign w:val="center"/>
          </w:tcPr>
          <w:p w14:paraId="14403347"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8" w:space="0" w:color="000000"/>
              <w:right w:val="single" w:sz="4" w:space="0" w:color="000000"/>
            </w:tcBorders>
            <w:shd w:val="clear" w:color="auto" w:fill="auto"/>
            <w:vAlign w:val="center"/>
          </w:tcPr>
          <w:p w14:paraId="7DFBD6B3"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8" w:space="0" w:color="000000"/>
              <w:right w:val="single" w:sz="4" w:space="0" w:color="000000"/>
            </w:tcBorders>
            <w:shd w:val="clear" w:color="auto" w:fill="D0CECE"/>
            <w:vAlign w:val="center"/>
          </w:tcPr>
          <w:p w14:paraId="416892CE"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4" w:type="dxa"/>
            <w:tcBorders>
              <w:top w:val="nil"/>
              <w:left w:val="nil"/>
              <w:bottom w:val="single" w:sz="8" w:space="0" w:color="000000"/>
              <w:right w:val="single" w:sz="8" w:space="0" w:color="000000"/>
            </w:tcBorders>
            <w:shd w:val="clear" w:color="auto" w:fill="D0CECE"/>
            <w:vAlign w:val="center"/>
          </w:tcPr>
          <w:p w14:paraId="63D4B363"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single" w:sz="8" w:space="0" w:color="000000"/>
              <w:bottom w:val="single" w:sz="8" w:space="0" w:color="000000"/>
              <w:right w:val="single" w:sz="4" w:space="0" w:color="000000"/>
            </w:tcBorders>
            <w:shd w:val="clear" w:color="auto" w:fill="D0CECE"/>
            <w:vAlign w:val="center"/>
          </w:tcPr>
          <w:p w14:paraId="71F2D2E6"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96" w:type="dxa"/>
            <w:tcBorders>
              <w:top w:val="nil"/>
              <w:left w:val="nil"/>
              <w:bottom w:val="single" w:sz="8" w:space="0" w:color="000000"/>
              <w:right w:val="single" w:sz="4" w:space="0" w:color="000000"/>
            </w:tcBorders>
            <w:shd w:val="clear" w:color="auto" w:fill="D0CECE"/>
            <w:vAlign w:val="center"/>
          </w:tcPr>
          <w:p w14:paraId="0B91BE04"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762" w:type="dxa"/>
            <w:tcBorders>
              <w:top w:val="nil"/>
              <w:left w:val="nil"/>
              <w:bottom w:val="single" w:sz="8" w:space="0" w:color="000000"/>
              <w:right w:val="single" w:sz="4" w:space="0" w:color="000000"/>
            </w:tcBorders>
            <w:shd w:val="clear" w:color="auto" w:fill="D0CECE"/>
            <w:vAlign w:val="center"/>
          </w:tcPr>
          <w:p w14:paraId="713347B0"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c>
          <w:tcPr>
            <w:tcW w:w="673" w:type="dxa"/>
            <w:tcBorders>
              <w:top w:val="nil"/>
              <w:left w:val="nil"/>
              <w:bottom w:val="single" w:sz="8" w:space="0" w:color="000000"/>
              <w:right w:val="single" w:sz="8" w:space="0" w:color="000000"/>
            </w:tcBorders>
            <w:shd w:val="clear" w:color="auto" w:fill="D0CECE"/>
            <w:vAlign w:val="center"/>
          </w:tcPr>
          <w:p w14:paraId="57521988" w14:textId="77777777" w:rsidR="00940635" w:rsidRPr="00D36AFD" w:rsidRDefault="00081B51">
            <w:pPr>
              <w:spacing w:after="0" w:line="240" w:lineRule="auto"/>
              <w:jc w:val="both"/>
              <w:rPr>
                <w:rFonts w:ascii="Times New Roman" w:eastAsia="Times New Roman" w:hAnsi="Times New Roman" w:cs="Times New Roman"/>
                <w:color w:val="000000"/>
              </w:rPr>
            </w:pPr>
            <w:r w:rsidRPr="00D36AFD">
              <w:rPr>
                <w:rFonts w:ascii="Times New Roman" w:eastAsia="Times New Roman" w:hAnsi="Times New Roman" w:cs="Times New Roman"/>
                <w:color w:val="000000"/>
              </w:rPr>
              <w:t> </w:t>
            </w:r>
          </w:p>
        </w:tc>
      </w:tr>
    </w:tbl>
    <w:p w14:paraId="386ACBD6" w14:textId="77777777" w:rsidR="00940635" w:rsidRPr="00D36AFD" w:rsidRDefault="00940635">
      <w:pPr>
        <w:keepNext/>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rPr>
        <w:sectPr w:rsidR="00940635" w:rsidRPr="00D36AFD" w:rsidSect="00401414">
          <w:pgSz w:w="16838" w:h="11906" w:orient="landscape"/>
          <w:pgMar w:top="1440" w:right="1440" w:bottom="1440" w:left="1440" w:header="706" w:footer="706" w:gutter="0"/>
          <w:cols w:space="720"/>
        </w:sectPr>
      </w:pPr>
    </w:p>
    <w:p w14:paraId="741A93A6" w14:textId="77777777" w:rsidR="00940635" w:rsidRPr="00D36AFD" w:rsidRDefault="00081B51">
      <w:pPr>
        <w:spacing w:line="360" w:lineRule="auto"/>
        <w:jc w:val="both"/>
        <w:rPr>
          <w:rFonts w:ascii="Times New Roman" w:eastAsia="Times New Roman" w:hAnsi="Times New Roman" w:cs="Times New Roman"/>
          <w:color w:val="000000"/>
          <w:sz w:val="24"/>
          <w:szCs w:val="24"/>
        </w:rPr>
      </w:pPr>
      <w:r w:rsidRPr="00D36AFD">
        <w:rPr>
          <w:rFonts w:ascii="Times New Roman" w:eastAsia="Times New Roman" w:hAnsi="Times New Roman" w:cs="Times New Roman"/>
          <w:b/>
          <w:color w:val="000000"/>
          <w:sz w:val="24"/>
          <w:szCs w:val="24"/>
        </w:rPr>
        <w:lastRenderedPageBreak/>
        <w:t>References</w:t>
      </w:r>
    </w:p>
    <w:p w14:paraId="3A9F4F60"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1. </w:t>
      </w:r>
      <w:r w:rsidRPr="00D36AFD">
        <w:rPr>
          <w:rFonts w:ascii="Times New Roman" w:eastAsia="Times New Roman" w:hAnsi="Times New Roman" w:cs="Times New Roman"/>
          <w:sz w:val="24"/>
          <w:szCs w:val="24"/>
        </w:rPr>
        <w:tab/>
        <w:t>Global RECAP: Capacity building to prevent NCDs | IDLO - International Development Law Organization. Accessed April 1, 2022. https://www.idlo.int/what-we-do/initiatives/global-recap-capacity-building-prevent-ncds</w:t>
      </w:r>
    </w:p>
    <w:p w14:paraId="0CB4EA53"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2. </w:t>
      </w:r>
      <w:r w:rsidRPr="00D36AFD">
        <w:rPr>
          <w:rFonts w:ascii="Times New Roman" w:eastAsia="Times New Roman" w:hAnsi="Times New Roman" w:cs="Times New Roman"/>
          <w:sz w:val="24"/>
          <w:szCs w:val="24"/>
        </w:rPr>
        <w:tab/>
        <w:t xml:space="preserve">Ministry of Health G. </w:t>
      </w:r>
      <w:r w:rsidRPr="00D36AFD">
        <w:rPr>
          <w:rFonts w:ascii="Times New Roman" w:eastAsia="Times New Roman" w:hAnsi="Times New Roman" w:cs="Times New Roman"/>
          <w:i/>
          <w:sz w:val="24"/>
          <w:szCs w:val="24"/>
        </w:rPr>
        <w:t>National Strategic Plan for Control of NCDs (2020/2021-2005/2026)</w:t>
      </w:r>
      <w:r w:rsidRPr="00D36AFD">
        <w:rPr>
          <w:rFonts w:ascii="Times New Roman" w:eastAsia="Times New Roman" w:hAnsi="Times New Roman" w:cs="Times New Roman"/>
          <w:sz w:val="24"/>
          <w:szCs w:val="24"/>
        </w:rPr>
        <w:t>.; 2021. Accessed April 1, 2022. www.health.go.ke</w:t>
      </w:r>
    </w:p>
    <w:p w14:paraId="138E1A78"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3. </w:t>
      </w:r>
      <w:r w:rsidRPr="00D36AFD">
        <w:rPr>
          <w:rFonts w:ascii="Times New Roman" w:eastAsia="Times New Roman" w:hAnsi="Times New Roman" w:cs="Times New Roman"/>
          <w:sz w:val="24"/>
          <w:szCs w:val="24"/>
        </w:rPr>
        <w:tab/>
        <w:t>LAWS OF KENYA FOOD, DRUGS AND CHEMICAL SUBSTANCES ACT. Accessed April 1, 2022. www.kenyalaw.org</w:t>
      </w:r>
    </w:p>
    <w:p w14:paraId="4D9A166E"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4. </w:t>
      </w:r>
      <w:r w:rsidRPr="00D36AFD">
        <w:rPr>
          <w:rFonts w:ascii="Times New Roman" w:eastAsia="Times New Roman" w:hAnsi="Times New Roman" w:cs="Times New Roman"/>
          <w:sz w:val="24"/>
          <w:szCs w:val="24"/>
        </w:rPr>
        <w:tab/>
        <w:t xml:space="preserve">Wanjohi MN, Thow AM, Abdool Karim S, et al. Nutrition-related non-communicable </w:t>
      </w:r>
      <w:proofErr w:type="gramStart"/>
      <w:r w:rsidRPr="00D36AFD">
        <w:rPr>
          <w:rFonts w:ascii="Times New Roman" w:eastAsia="Times New Roman" w:hAnsi="Times New Roman" w:cs="Times New Roman"/>
          <w:sz w:val="24"/>
          <w:szCs w:val="24"/>
        </w:rPr>
        <w:t>disease</w:t>
      </w:r>
      <w:proofErr w:type="gramEnd"/>
      <w:r w:rsidRPr="00D36AFD">
        <w:rPr>
          <w:rFonts w:ascii="Times New Roman" w:eastAsia="Times New Roman" w:hAnsi="Times New Roman" w:cs="Times New Roman"/>
          <w:sz w:val="24"/>
          <w:szCs w:val="24"/>
        </w:rPr>
        <w:t xml:space="preserve"> and sugar-sweetened beverage policies: a landscape analysis in Kenya. </w:t>
      </w:r>
      <w:r w:rsidRPr="00D36AFD">
        <w:rPr>
          <w:rFonts w:ascii="Times New Roman" w:eastAsia="Times New Roman" w:hAnsi="Times New Roman" w:cs="Times New Roman"/>
          <w:i/>
          <w:sz w:val="24"/>
          <w:szCs w:val="24"/>
        </w:rPr>
        <w:t>Glob Health Action</w:t>
      </w:r>
      <w:r w:rsidRPr="00D36AFD">
        <w:rPr>
          <w:rFonts w:ascii="Times New Roman" w:eastAsia="Times New Roman" w:hAnsi="Times New Roman" w:cs="Times New Roman"/>
          <w:sz w:val="24"/>
          <w:szCs w:val="24"/>
        </w:rPr>
        <w:t>. 2021;14(1). doi:10.1080/16549716.2021.1902659</w:t>
      </w:r>
    </w:p>
    <w:p w14:paraId="2B5B5394"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5. </w:t>
      </w:r>
      <w:r w:rsidRPr="00D36AFD">
        <w:rPr>
          <w:rFonts w:ascii="Times New Roman" w:eastAsia="Times New Roman" w:hAnsi="Times New Roman" w:cs="Times New Roman"/>
          <w:sz w:val="24"/>
          <w:szCs w:val="24"/>
        </w:rPr>
        <w:tab/>
        <w:t xml:space="preserve">Backholer K, Martin J. Sugar-sweetened beverage tax: the inconvenient truths. </w:t>
      </w:r>
      <w:r w:rsidRPr="00D36AFD">
        <w:rPr>
          <w:rFonts w:ascii="Times New Roman" w:eastAsia="Times New Roman" w:hAnsi="Times New Roman" w:cs="Times New Roman"/>
          <w:i/>
          <w:sz w:val="24"/>
          <w:szCs w:val="24"/>
        </w:rPr>
        <w:t>Public Health Nutr</w:t>
      </w:r>
      <w:r w:rsidRPr="00D36AFD">
        <w:rPr>
          <w:rFonts w:ascii="Times New Roman" w:eastAsia="Times New Roman" w:hAnsi="Times New Roman" w:cs="Times New Roman"/>
          <w:sz w:val="24"/>
          <w:szCs w:val="24"/>
        </w:rPr>
        <w:t>. 2017;20(18):3225-3227. doi:10.1017/S1368980017003330</w:t>
      </w:r>
    </w:p>
    <w:p w14:paraId="69A21188"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6. </w:t>
      </w:r>
      <w:r w:rsidRPr="00D36AFD">
        <w:rPr>
          <w:rFonts w:ascii="Times New Roman" w:eastAsia="Times New Roman" w:hAnsi="Times New Roman" w:cs="Times New Roman"/>
          <w:sz w:val="24"/>
          <w:szCs w:val="24"/>
        </w:rPr>
        <w:tab/>
        <w:t xml:space="preserve">MOE, MOH. </w:t>
      </w:r>
      <w:r w:rsidRPr="00D36AFD">
        <w:rPr>
          <w:rFonts w:ascii="Times New Roman" w:eastAsia="Times New Roman" w:hAnsi="Times New Roman" w:cs="Times New Roman"/>
          <w:i/>
          <w:sz w:val="24"/>
          <w:szCs w:val="24"/>
        </w:rPr>
        <w:t>KENYA SCHOOL HEALTH POLICY</w:t>
      </w:r>
      <w:r w:rsidRPr="00D36AFD">
        <w:rPr>
          <w:rFonts w:ascii="Times New Roman" w:eastAsia="Times New Roman" w:hAnsi="Times New Roman" w:cs="Times New Roman"/>
          <w:sz w:val="24"/>
          <w:szCs w:val="24"/>
        </w:rPr>
        <w:t>.; 2018.</w:t>
      </w:r>
    </w:p>
    <w:p w14:paraId="0987742A"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7. </w:t>
      </w:r>
      <w:r w:rsidRPr="00D36AFD">
        <w:rPr>
          <w:rFonts w:ascii="Times New Roman" w:eastAsia="Times New Roman" w:hAnsi="Times New Roman" w:cs="Times New Roman"/>
          <w:sz w:val="24"/>
          <w:szCs w:val="24"/>
        </w:rPr>
        <w:tab/>
        <w:t xml:space="preserve">Mwenda V, Mwangi M, Nyanjau L, Gichu M, Kyobutungi C, Kibachio J. Dietary risk factors for non-communicable diseases in Kenya: Findings of the STEPS survey, 2015 11 Medical and Health Sciences 1111 Nutrition and Dietetics 11 Medical and Health Sciences 1117 Public Health and Health Services. </w:t>
      </w:r>
      <w:r w:rsidRPr="00D36AFD">
        <w:rPr>
          <w:rFonts w:ascii="Times New Roman" w:eastAsia="Times New Roman" w:hAnsi="Times New Roman" w:cs="Times New Roman"/>
          <w:i/>
          <w:sz w:val="24"/>
          <w:szCs w:val="24"/>
        </w:rPr>
        <w:t>BMC Public Health</w:t>
      </w:r>
      <w:r w:rsidRPr="00D36AFD">
        <w:rPr>
          <w:rFonts w:ascii="Times New Roman" w:eastAsia="Times New Roman" w:hAnsi="Times New Roman" w:cs="Times New Roman"/>
          <w:sz w:val="24"/>
          <w:szCs w:val="24"/>
        </w:rPr>
        <w:t>. 2018;18(3):1-8. doi:10.1186/S12889-018-6060-Y/FIGURES/1</w:t>
      </w:r>
    </w:p>
    <w:p w14:paraId="2C8015FF"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8. </w:t>
      </w:r>
      <w:r w:rsidRPr="00D36AFD">
        <w:rPr>
          <w:rFonts w:ascii="Times New Roman" w:eastAsia="Times New Roman" w:hAnsi="Times New Roman" w:cs="Times New Roman"/>
          <w:sz w:val="24"/>
          <w:szCs w:val="24"/>
        </w:rPr>
        <w:tab/>
        <w:t xml:space="preserve">Ng M, Fleming T, Robinson M, et al. Global, regional, and national prevalence of overweight and obesity in children and adults during 1980-2013: a systematic analysis for the Global Burden of Disease Study 2013. </w:t>
      </w:r>
      <w:r w:rsidRPr="00D36AFD">
        <w:rPr>
          <w:rFonts w:ascii="Times New Roman" w:eastAsia="Times New Roman" w:hAnsi="Times New Roman" w:cs="Times New Roman"/>
          <w:i/>
          <w:sz w:val="24"/>
          <w:szCs w:val="24"/>
        </w:rPr>
        <w:t>Lancet (London, England)</w:t>
      </w:r>
      <w:r w:rsidRPr="00D36AFD">
        <w:rPr>
          <w:rFonts w:ascii="Times New Roman" w:eastAsia="Times New Roman" w:hAnsi="Times New Roman" w:cs="Times New Roman"/>
          <w:sz w:val="24"/>
          <w:szCs w:val="24"/>
        </w:rPr>
        <w:t>. 2014;384(9945):766-781. doi:10.1016/S0140-6736(14)60460-8</w:t>
      </w:r>
    </w:p>
    <w:p w14:paraId="48D8ADF4"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9. </w:t>
      </w:r>
      <w:r w:rsidRPr="00D36AFD">
        <w:rPr>
          <w:rFonts w:ascii="Times New Roman" w:eastAsia="Times New Roman" w:hAnsi="Times New Roman" w:cs="Times New Roman"/>
          <w:sz w:val="24"/>
          <w:szCs w:val="24"/>
        </w:rPr>
        <w:tab/>
        <w:t xml:space="preserve">Amugsi DA, Dimbuene ZT, Mberu B, Muthuri S, Ezeh AC. </w:t>
      </w:r>
      <w:proofErr w:type="gramStart"/>
      <w:r w:rsidRPr="00D36AFD">
        <w:rPr>
          <w:rFonts w:ascii="Times New Roman" w:eastAsia="Times New Roman" w:hAnsi="Times New Roman" w:cs="Times New Roman"/>
          <w:sz w:val="24"/>
          <w:szCs w:val="24"/>
        </w:rPr>
        <w:t>Prevalence</w:t>
      </w:r>
      <w:proofErr w:type="gramEnd"/>
      <w:r w:rsidRPr="00D36AFD">
        <w:rPr>
          <w:rFonts w:ascii="Times New Roman" w:eastAsia="Times New Roman" w:hAnsi="Times New Roman" w:cs="Times New Roman"/>
          <w:sz w:val="24"/>
          <w:szCs w:val="24"/>
        </w:rPr>
        <w:t xml:space="preserve"> and time trends in overweight and obesity among urban women: an analysis of demographic and health surveys data from 24 African countries, 1991–2014. </w:t>
      </w:r>
      <w:r w:rsidRPr="00D36AFD">
        <w:rPr>
          <w:rFonts w:ascii="Times New Roman" w:eastAsia="Times New Roman" w:hAnsi="Times New Roman" w:cs="Times New Roman"/>
          <w:i/>
          <w:sz w:val="24"/>
          <w:szCs w:val="24"/>
        </w:rPr>
        <w:t>BMJ Open</w:t>
      </w:r>
      <w:r w:rsidRPr="00D36AFD">
        <w:rPr>
          <w:rFonts w:ascii="Times New Roman" w:eastAsia="Times New Roman" w:hAnsi="Times New Roman" w:cs="Times New Roman"/>
          <w:sz w:val="24"/>
          <w:szCs w:val="24"/>
        </w:rPr>
        <w:t>. 2017;7(10</w:t>
      </w:r>
      <w:proofErr w:type="gramStart"/>
      <w:r w:rsidRPr="00D36AFD">
        <w:rPr>
          <w:rFonts w:ascii="Times New Roman" w:eastAsia="Times New Roman" w:hAnsi="Times New Roman" w:cs="Times New Roman"/>
          <w:sz w:val="24"/>
          <w:szCs w:val="24"/>
        </w:rPr>
        <w:t>):e</w:t>
      </w:r>
      <w:proofErr w:type="gramEnd"/>
      <w:r w:rsidRPr="00D36AFD">
        <w:rPr>
          <w:rFonts w:ascii="Times New Roman" w:eastAsia="Times New Roman" w:hAnsi="Times New Roman" w:cs="Times New Roman"/>
          <w:sz w:val="24"/>
          <w:szCs w:val="24"/>
        </w:rPr>
        <w:t>017344. doi:10.1136/BMJOPEN-2017-017344</w:t>
      </w:r>
    </w:p>
    <w:p w14:paraId="3B964D12"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10. </w:t>
      </w:r>
      <w:r w:rsidRPr="00D36AFD">
        <w:rPr>
          <w:rFonts w:ascii="Times New Roman" w:eastAsia="Times New Roman" w:hAnsi="Times New Roman" w:cs="Times New Roman"/>
          <w:sz w:val="24"/>
          <w:szCs w:val="24"/>
        </w:rPr>
        <w:tab/>
        <w:t>Corvalán C. Avoiding the nutrition transition “trap” 10 th Dr Abraham Horwitz Lecture. Accessed April 1, 2022. http://latinut.net</w:t>
      </w:r>
    </w:p>
    <w:p w14:paraId="101786CE"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lastRenderedPageBreak/>
        <w:t xml:space="preserve">11. </w:t>
      </w:r>
      <w:r w:rsidRPr="00D36AFD">
        <w:rPr>
          <w:rFonts w:ascii="Times New Roman" w:eastAsia="Times New Roman" w:hAnsi="Times New Roman" w:cs="Times New Roman"/>
          <w:sz w:val="24"/>
          <w:szCs w:val="24"/>
        </w:rPr>
        <w:tab/>
        <w:t xml:space="preserve">Uauy R, Kain J. The epidemiological transition: need to incorporate obesity prevention into nutrition programmes. </w:t>
      </w:r>
      <w:r w:rsidRPr="00D36AFD">
        <w:rPr>
          <w:rFonts w:ascii="Times New Roman" w:eastAsia="Times New Roman" w:hAnsi="Times New Roman" w:cs="Times New Roman"/>
          <w:i/>
          <w:sz w:val="24"/>
          <w:szCs w:val="24"/>
        </w:rPr>
        <w:t>Public Health Nutr</w:t>
      </w:r>
      <w:r w:rsidRPr="00D36AFD">
        <w:rPr>
          <w:rFonts w:ascii="Times New Roman" w:eastAsia="Times New Roman" w:hAnsi="Times New Roman" w:cs="Times New Roman"/>
          <w:sz w:val="24"/>
          <w:szCs w:val="24"/>
        </w:rPr>
        <w:t>. 2002;5(1a):223-229. doi:10.1079/PHN2001297</w:t>
      </w:r>
    </w:p>
    <w:p w14:paraId="719B4973"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12. </w:t>
      </w:r>
      <w:r w:rsidRPr="00D36AFD">
        <w:rPr>
          <w:rFonts w:ascii="Times New Roman" w:eastAsia="Times New Roman" w:hAnsi="Times New Roman" w:cs="Times New Roman"/>
          <w:sz w:val="24"/>
          <w:szCs w:val="24"/>
        </w:rPr>
        <w:tab/>
        <w:t xml:space="preserve">FAO. </w:t>
      </w:r>
      <w:r w:rsidRPr="00D36AFD">
        <w:rPr>
          <w:rFonts w:ascii="Times New Roman" w:eastAsia="Times New Roman" w:hAnsi="Times New Roman" w:cs="Times New Roman"/>
          <w:i/>
          <w:sz w:val="24"/>
          <w:szCs w:val="24"/>
        </w:rPr>
        <w:t>WHO Second International Conference on Nutritio Declaration</w:t>
      </w:r>
      <w:r w:rsidRPr="00D36AFD">
        <w:rPr>
          <w:rFonts w:ascii="Times New Roman" w:eastAsia="Times New Roman" w:hAnsi="Times New Roman" w:cs="Times New Roman"/>
          <w:sz w:val="24"/>
          <w:szCs w:val="24"/>
        </w:rPr>
        <w:t>.; 2014. Accessed April 1, 2022. https://www.fao.org/3/ml542e/ml542e.pdf</w:t>
      </w:r>
    </w:p>
    <w:p w14:paraId="6D5DBEF4"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13. </w:t>
      </w:r>
      <w:r w:rsidRPr="00D36AFD">
        <w:rPr>
          <w:rFonts w:ascii="Times New Roman" w:eastAsia="Times New Roman" w:hAnsi="Times New Roman" w:cs="Times New Roman"/>
          <w:sz w:val="24"/>
          <w:szCs w:val="24"/>
        </w:rPr>
        <w:tab/>
        <w:t xml:space="preserve">Swinburn BA, Kraak VI, Allender S, et al. The Global Syndemic of Obesity, Undernutrition, and Climate Change: The Lancet Commission report. </w:t>
      </w:r>
      <w:r w:rsidRPr="00D36AFD">
        <w:rPr>
          <w:rFonts w:ascii="Times New Roman" w:eastAsia="Times New Roman" w:hAnsi="Times New Roman" w:cs="Times New Roman"/>
          <w:i/>
          <w:sz w:val="24"/>
          <w:szCs w:val="24"/>
        </w:rPr>
        <w:t>Lancet</w:t>
      </w:r>
      <w:r w:rsidRPr="00D36AFD">
        <w:rPr>
          <w:rFonts w:ascii="Times New Roman" w:eastAsia="Times New Roman" w:hAnsi="Times New Roman" w:cs="Times New Roman"/>
          <w:sz w:val="24"/>
          <w:szCs w:val="24"/>
        </w:rPr>
        <w:t>. 2019;393(10173):791-846. doi:10.1016/S0140-6736(18)32822-8</w:t>
      </w:r>
    </w:p>
    <w:p w14:paraId="40739259"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14. </w:t>
      </w:r>
      <w:r w:rsidRPr="00D36AFD">
        <w:rPr>
          <w:rFonts w:ascii="Times New Roman" w:eastAsia="Times New Roman" w:hAnsi="Times New Roman" w:cs="Times New Roman"/>
          <w:sz w:val="24"/>
          <w:szCs w:val="24"/>
        </w:rPr>
        <w:tab/>
        <w:t xml:space="preserve">Hawkes C, Ruel MT, Salm L, Sinclair B, Branca F. Double-duty actions: seizing programme and policy opportunities to address malnutrition in all its forms. </w:t>
      </w:r>
      <w:r w:rsidRPr="00D36AFD">
        <w:rPr>
          <w:rFonts w:ascii="Times New Roman" w:eastAsia="Times New Roman" w:hAnsi="Times New Roman" w:cs="Times New Roman"/>
          <w:i/>
          <w:sz w:val="24"/>
          <w:szCs w:val="24"/>
        </w:rPr>
        <w:t>Lancet (London, England)</w:t>
      </w:r>
      <w:r w:rsidRPr="00D36AFD">
        <w:rPr>
          <w:rFonts w:ascii="Times New Roman" w:eastAsia="Times New Roman" w:hAnsi="Times New Roman" w:cs="Times New Roman"/>
          <w:sz w:val="24"/>
          <w:szCs w:val="24"/>
        </w:rPr>
        <w:t>. 2020;395(10218):142-155. doi:10.1016/S0140-6736(19)32506-1</w:t>
      </w:r>
    </w:p>
    <w:p w14:paraId="2CC235FA"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15. </w:t>
      </w:r>
      <w:r w:rsidRPr="00D36AFD">
        <w:rPr>
          <w:rFonts w:ascii="Times New Roman" w:eastAsia="Times New Roman" w:hAnsi="Times New Roman" w:cs="Times New Roman"/>
          <w:sz w:val="24"/>
          <w:szCs w:val="24"/>
        </w:rPr>
        <w:tab/>
        <w:t xml:space="preserve">Micha R, Karageorgou D, Bakogianni I, et al. Effectiveness of school food environment policies on children’s dietary behaviors: A systematic review and meta-analysis. </w:t>
      </w:r>
      <w:r w:rsidRPr="00D36AFD">
        <w:rPr>
          <w:rFonts w:ascii="Times New Roman" w:eastAsia="Times New Roman" w:hAnsi="Times New Roman" w:cs="Times New Roman"/>
          <w:i/>
          <w:sz w:val="24"/>
          <w:szCs w:val="24"/>
        </w:rPr>
        <w:t>PLoS One</w:t>
      </w:r>
      <w:r w:rsidRPr="00D36AFD">
        <w:rPr>
          <w:rFonts w:ascii="Times New Roman" w:eastAsia="Times New Roman" w:hAnsi="Times New Roman" w:cs="Times New Roman"/>
          <w:sz w:val="24"/>
          <w:szCs w:val="24"/>
        </w:rPr>
        <w:t>. 2018;13(3</w:t>
      </w:r>
      <w:proofErr w:type="gramStart"/>
      <w:r w:rsidRPr="00D36AFD">
        <w:rPr>
          <w:rFonts w:ascii="Times New Roman" w:eastAsia="Times New Roman" w:hAnsi="Times New Roman" w:cs="Times New Roman"/>
          <w:sz w:val="24"/>
          <w:szCs w:val="24"/>
        </w:rPr>
        <w:t>):e</w:t>
      </w:r>
      <w:proofErr w:type="gramEnd"/>
      <w:r w:rsidRPr="00D36AFD">
        <w:rPr>
          <w:rFonts w:ascii="Times New Roman" w:eastAsia="Times New Roman" w:hAnsi="Times New Roman" w:cs="Times New Roman"/>
          <w:sz w:val="24"/>
          <w:szCs w:val="24"/>
        </w:rPr>
        <w:t xml:space="preserve">0194555. </w:t>
      </w:r>
      <w:proofErr w:type="gramStart"/>
      <w:r w:rsidRPr="00D36AFD">
        <w:rPr>
          <w:rFonts w:ascii="Times New Roman" w:eastAsia="Times New Roman" w:hAnsi="Times New Roman" w:cs="Times New Roman"/>
          <w:sz w:val="24"/>
          <w:szCs w:val="24"/>
        </w:rPr>
        <w:t>doi:10.1371/JOURNAL.PONE</w:t>
      </w:r>
      <w:proofErr w:type="gramEnd"/>
      <w:r w:rsidRPr="00D36AFD">
        <w:rPr>
          <w:rFonts w:ascii="Times New Roman" w:eastAsia="Times New Roman" w:hAnsi="Times New Roman" w:cs="Times New Roman"/>
          <w:sz w:val="24"/>
          <w:szCs w:val="24"/>
        </w:rPr>
        <w:t>.0194555</w:t>
      </w:r>
    </w:p>
    <w:p w14:paraId="319D82E6"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16. </w:t>
      </w:r>
      <w:r w:rsidRPr="00D36AFD">
        <w:rPr>
          <w:rFonts w:ascii="Times New Roman" w:eastAsia="Times New Roman" w:hAnsi="Times New Roman" w:cs="Times New Roman"/>
          <w:sz w:val="24"/>
          <w:szCs w:val="24"/>
        </w:rPr>
        <w:tab/>
        <w:t xml:space="preserve">Popkin BM, Corvalan C, Grummer-Strawn LM. Dynamics of the double burden of malnutrition and the changing nutrition reality. </w:t>
      </w:r>
      <w:r w:rsidRPr="00D36AFD">
        <w:rPr>
          <w:rFonts w:ascii="Times New Roman" w:eastAsia="Times New Roman" w:hAnsi="Times New Roman" w:cs="Times New Roman"/>
          <w:i/>
          <w:sz w:val="24"/>
          <w:szCs w:val="24"/>
        </w:rPr>
        <w:t>Lancet</w:t>
      </w:r>
      <w:r w:rsidRPr="00D36AFD">
        <w:rPr>
          <w:rFonts w:ascii="Times New Roman" w:eastAsia="Times New Roman" w:hAnsi="Times New Roman" w:cs="Times New Roman"/>
          <w:sz w:val="24"/>
          <w:szCs w:val="24"/>
        </w:rPr>
        <w:t>. 2020;395(10217):65-74. doi:10.1016/S0140-6736(19)32497-3</w:t>
      </w:r>
    </w:p>
    <w:p w14:paraId="02B38B8C"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17. </w:t>
      </w:r>
      <w:r w:rsidRPr="00D36AFD">
        <w:rPr>
          <w:rFonts w:ascii="Times New Roman" w:eastAsia="Times New Roman" w:hAnsi="Times New Roman" w:cs="Times New Roman"/>
          <w:sz w:val="24"/>
          <w:szCs w:val="24"/>
        </w:rPr>
        <w:tab/>
        <w:t xml:space="preserve">Hawkes C, Jewell J, Allen K. A food policy package for healthy diets and the prevention of obesity and diet-related non-communicable diseases: the NOURISHING framework. </w:t>
      </w:r>
      <w:r w:rsidRPr="00D36AFD">
        <w:rPr>
          <w:rFonts w:ascii="Times New Roman" w:eastAsia="Times New Roman" w:hAnsi="Times New Roman" w:cs="Times New Roman"/>
          <w:i/>
          <w:sz w:val="24"/>
          <w:szCs w:val="24"/>
        </w:rPr>
        <w:t>Obes Rev</w:t>
      </w:r>
      <w:r w:rsidRPr="00D36AFD">
        <w:rPr>
          <w:rFonts w:ascii="Times New Roman" w:eastAsia="Times New Roman" w:hAnsi="Times New Roman" w:cs="Times New Roman"/>
          <w:sz w:val="24"/>
          <w:szCs w:val="24"/>
        </w:rPr>
        <w:t>. 2013;14 Suppl 2(S2):159-168. doi:10.1111/OBR.12098</w:t>
      </w:r>
    </w:p>
    <w:p w14:paraId="3CFD331B"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18. </w:t>
      </w:r>
      <w:r w:rsidRPr="00D36AFD">
        <w:rPr>
          <w:rFonts w:ascii="Times New Roman" w:eastAsia="Times New Roman" w:hAnsi="Times New Roman" w:cs="Times New Roman"/>
          <w:sz w:val="24"/>
          <w:szCs w:val="24"/>
        </w:rPr>
        <w:tab/>
        <w:t>NONCOMMUNICABLE DISEASES PROGRESS MONITOR 2020.</w:t>
      </w:r>
    </w:p>
    <w:p w14:paraId="589E63F5"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19. </w:t>
      </w:r>
      <w:r w:rsidRPr="00D36AFD">
        <w:rPr>
          <w:rFonts w:ascii="Times New Roman" w:eastAsia="Times New Roman" w:hAnsi="Times New Roman" w:cs="Times New Roman"/>
          <w:sz w:val="24"/>
          <w:szCs w:val="24"/>
        </w:rPr>
        <w:tab/>
        <w:t xml:space="preserve">Swinburn B, Vandevijvere S, Kraak V, et al. Monitoring and benchmarking government </w:t>
      </w:r>
      <w:proofErr w:type="gramStart"/>
      <w:r w:rsidRPr="00D36AFD">
        <w:rPr>
          <w:rFonts w:ascii="Times New Roman" w:eastAsia="Times New Roman" w:hAnsi="Times New Roman" w:cs="Times New Roman"/>
          <w:sz w:val="24"/>
          <w:szCs w:val="24"/>
        </w:rPr>
        <w:t>policies</w:t>
      </w:r>
      <w:proofErr w:type="gramEnd"/>
      <w:r w:rsidRPr="00D36AFD">
        <w:rPr>
          <w:rFonts w:ascii="Times New Roman" w:eastAsia="Times New Roman" w:hAnsi="Times New Roman" w:cs="Times New Roman"/>
          <w:sz w:val="24"/>
          <w:szCs w:val="24"/>
        </w:rPr>
        <w:t xml:space="preserve"> and actions to improve the healthiness of food environments: a proposed Government Healthy Food Environment Policy Index. </w:t>
      </w:r>
      <w:r w:rsidRPr="00D36AFD">
        <w:rPr>
          <w:rFonts w:ascii="Times New Roman" w:eastAsia="Times New Roman" w:hAnsi="Times New Roman" w:cs="Times New Roman"/>
          <w:i/>
          <w:sz w:val="24"/>
          <w:szCs w:val="24"/>
        </w:rPr>
        <w:t>Obes Rev</w:t>
      </w:r>
      <w:r w:rsidRPr="00D36AFD">
        <w:rPr>
          <w:rFonts w:ascii="Times New Roman" w:eastAsia="Times New Roman" w:hAnsi="Times New Roman" w:cs="Times New Roman"/>
          <w:sz w:val="24"/>
          <w:szCs w:val="24"/>
        </w:rPr>
        <w:t>. 2013;14 Suppl 1(S1):24-37. doi:10.1111/OBR.12073</w:t>
      </w:r>
    </w:p>
    <w:p w14:paraId="4F6D93FB"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20. </w:t>
      </w:r>
      <w:r w:rsidRPr="00D36AFD">
        <w:rPr>
          <w:rFonts w:ascii="Times New Roman" w:eastAsia="Times New Roman" w:hAnsi="Times New Roman" w:cs="Times New Roman"/>
          <w:sz w:val="24"/>
          <w:szCs w:val="24"/>
        </w:rPr>
        <w:tab/>
        <w:t>Marketing of food and non-alcoholic beverages to children. Published online 2010.</w:t>
      </w:r>
    </w:p>
    <w:p w14:paraId="39D2E631"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21. </w:t>
      </w:r>
      <w:r w:rsidRPr="00D36AFD">
        <w:rPr>
          <w:rFonts w:ascii="Times New Roman" w:eastAsia="Times New Roman" w:hAnsi="Times New Roman" w:cs="Times New Roman"/>
          <w:sz w:val="24"/>
          <w:szCs w:val="24"/>
        </w:rPr>
        <w:tab/>
        <w:t xml:space="preserve">Cornelsen L, Smith RD. Soda taxes – Four questions economists need to address. </w:t>
      </w:r>
      <w:r w:rsidRPr="00D36AFD">
        <w:rPr>
          <w:rFonts w:ascii="Times New Roman" w:eastAsia="Times New Roman" w:hAnsi="Times New Roman" w:cs="Times New Roman"/>
          <w:i/>
          <w:sz w:val="24"/>
          <w:szCs w:val="24"/>
        </w:rPr>
        <w:t>Food Policy</w:t>
      </w:r>
      <w:r w:rsidRPr="00D36AFD">
        <w:rPr>
          <w:rFonts w:ascii="Times New Roman" w:eastAsia="Times New Roman" w:hAnsi="Times New Roman" w:cs="Times New Roman"/>
          <w:sz w:val="24"/>
          <w:szCs w:val="24"/>
        </w:rPr>
        <w:t xml:space="preserve">. </w:t>
      </w:r>
      <w:proofErr w:type="gramStart"/>
      <w:r w:rsidRPr="00D36AFD">
        <w:rPr>
          <w:rFonts w:ascii="Times New Roman" w:eastAsia="Times New Roman" w:hAnsi="Times New Roman" w:cs="Times New Roman"/>
          <w:sz w:val="24"/>
          <w:szCs w:val="24"/>
        </w:rPr>
        <w:t>2018;74:138</w:t>
      </w:r>
      <w:proofErr w:type="gramEnd"/>
      <w:r w:rsidRPr="00D36AFD">
        <w:rPr>
          <w:rFonts w:ascii="Times New Roman" w:eastAsia="Times New Roman" w:hAnsi="Times New Roman" w:cs="Times New Roman"/>
          <w:sz w:val="24"/>
          <w:szCs w:val="24"/>
        </w:rPr>
        <w:t xml:space="preserve">-142. </w:t>
      </w:r>
      <w:proofErr w:type="gramStart"/>
      <w:r w:rsidRPr="00D36AFD">
        <w:rPr>
          <w:rFonts w:ascii="Times New Roman" w:eastAsia="Times New Roman" w:hAnsi="Times New Roman" w:cs="Times New Roman"/>
          <w:sz w:val="24"/>
          <w:szCs w:val="24"/>
        </w:rPr>
        <w:t>doi:10.1016/J.FOODPOL</w:t>
      </w:r>
      <w:proofErr w:type="gramEnd"/>
      <w:r w:rsidRPr="00D36AFD">
        <w:rPr>
          <w:rFonts w:ascii="Times New Roman" w:eastAsia="Times New Roman" w:hAnsi="Times New Roman" w:cs="Times New Roman"/>
          <w:sz w:val="24"/>
          <w:szCs w:val="24"/>
        </w:rPr>
        <w:t>.2017.12.003</w:t>
      </w:r>
    </w:p>
    <w:p w14:paraId="6AD5AFC1"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22. </w:t>
      </w:r>
      <w:r w:rsidRPr="00D36AFD">
        <w:rPr>
          <w:rFonts w:ascii="Times New Roman" w:eastAsia="Times New Roman" w:hAnsi="Times New Roman" w:cs="Times New Roman"/>
          <w:sz w:val="24"/>
          <w:szCs w:val="24"/>
        </w:rPr>
        <w:tab/>
        <w:t>Du M, Tugendhaft A, Erzse A, Hofman KJ. Focus: Nutrition and Food Science: Sugar-</w:t>
      </w:r>
      <w:r w:rsidRPr="00D36AFD">
        <w:rPr>
          <w:rFonts w:ascii="Times New Roman" w:eastAsia="Times New Roman" w:hAnsi="Times New Roman" w:cs="Times New Roman"/>
          <w:sz w:val="24"/>
          <w:szCs w:val="24"/>
        </w:rPr>
        <w:lastRenderedPageBreak/>
        <w:t xml:space="preserve">Sweetened Beverage Taxes: Industry Response and Tactics. </w:t>
      </w:r>
      <w:r w:rsidRPr="00D36AFD">
        <w:rPr>
          <w:rFonts w:ascii="Times New Roman" w:eastAsia="Times New Roman" w:hAnsi="Times New Roman" w:cs="Times New Roman"/>
          <w:i/>
          <w:sz w:val="24"/>
          <w:szCs w:val="24"/>
        </w:rPr>
        <w:t>Yale J Biol Med</w:t>
      </w:r>
      <w:r w:rsidRPr="00D36AFD">
        <w:rPr>
          <w:rFonts w:ascii="Times New Roman" w:eastAsia="Times New Roman" w:hAnsi="Times New Roman" w:cs="Times New Roman"/>
          <w:sz w:val="24"/>
          <w:szCs w:val="24"/>
        </w:rPr>
        <w:t>. 2018;91(2):185. Accessed April 1, 2022. /pmc/articles/PMC6020730/</w:t>
      </w:r>
    </w:p>
    <w:p w14:paraId="22C463AB"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23. </w:t>
      </w:r>
      <w:r w:rsidRPr="00D36AFD">
        <w:rPr>
          <w:rFonts w:ascii="Times New Roman" w:eastAsia="Times New Roman" w:hAnsi="Times New Roman" w:cs="Times New Roman"/>
          <w:sz w:val="24"/>
          <w:szCs w:val="24"/>
        </w:rPr>
        <w:tab/>
        <w:t xml:space="preserve">Asiki G, Wanjohi MN, Barnes A, et al. Benchmarking food environment policies for the prevention of diet-related non-communicable diseases in Kenya: National expert panel’s assessment and priority recommendations. </w:t>
      </w:r>
      <w:r w:rsidRPr="00D36AFD">
        <w:rPr>
          <w:rFonts w:ascii="Times New Roman" w:eastAsia="Times New Roman" w:hAnsi="Times New Roman" w:cs="Times New Roman"/>
          <w:i/>
          <w:sz w:val="24"/>
          <w:szCs w:val="24"/>
        </w:rPr>
        <w:t>PLoS One</w:t>
      </w:r>
      <w:r w:rsidRPr="00D36AFD">
        <w:rPr>
          <w:rFonts w:ascii="Times New Roman" w:eastAsia="Times New Roman" w:hAnsi="Times New Roman" w:cs="Times New Roman"/>
          <w:sz w:val="24"/>
          <w:szCs w:val="24"/>
        </w:rPr>
        <w:t>. 2020;15(8</w:t>
      </w:r>
      <w:proofErr w:type="gramStart"/>
      <w:r w:rsidRPr="00D36AFD">
        <w:rPr>
          <w:rFonts w:ascii="Times New Roman" w:eastAsia="Times New Roman" w:hAnsi="Times New Roman" w:cs="Times New Roman"/>
          <w:sz w:val="24"/>
          <w:szCs w:val="24"/>
        </w:rPr>
        <w:t>):e</w:t>
      </w:r>
      <w:proofErr w:type="gramEnd"/>
      <w:r w:rsidRPr="00D36AFD">
        <w:rPr>
          <w:rFonts w:ascii="Times New Roman" w:eastAsia="Times New Roman" w:hAnsi="Times New Roman" w:cs="Times New Roman"/>
          <w:sz w:val="24"/>
          <w:szCs w:val="24"/>
        </w:rPr>
        <w:t xml:space="preserve">0236699. </w:t>
      </w:r>
      <w:proofErr w:type="gramStart"/>
      <w:r w:rsidRPr="00D36AFD">
        <w:rPr>
          <w:rFonts w:ascii="Times New Roman" w:eastAsia="Times New Roman" w:hAnsi="Times New Roman" w:cs="Times New Roman"/>
          <w:sz w:val="24"/>
          <w:szCs w:val="24"/>
        </w:rPr>
        <w:t>doi:10.1371/JOURNAL.PONE</w:t>
      </w:r>
      <w:proofErr w:type="gramEnd"/>
      <w:r w:rsidRPr="00D36AFD">
        <w:rPr>
          <w:rFonts w:ascii="Times New Roman" w:eastAsia="Times New Roman" w:hAnsi="Times New Roman" w:cs="Times New Roman"/>
          <w:sz w:val="24"/>
          <w:szCs w:val="24"/>
        </w:rPr>
        <w:t>.0236699</w:t>
      </w:r>
    </w:p>
    <w:p w14:paraId="633067F8"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24. </w:t>
      </w:r>
      <w:r w:rsidRPr="00D36AFD">
        <w:rPr>
          <w:rFonts w:ascii="Times New Roman" w:eastAsia="Times New Roman" w:hAnsi="Times New Roman" w:cs="Times New Roman"/>
          <w:sz w:val="24"/>
          <w:szCs w:val="24"/>
        </w:rPr>
        <w:tab/>
        <w:t xml:space="preserve">Afshin A, Sur PJ, Fay KA, et al. Health effects of dietary risks in 195 countries, 1990–2017: a systematic analysis for the Global Burden of Disease Study 2017. </w:t>
      </w:r>
      <w:r w:rsidRPr="00D36AFD">
        <w:rPr>
          <w:rFonts w:ascii="Times New Roman" w:eastAsia="Times New Roman" w:hAnsi="Times New Roman" w:cs="Times New Roman"/>
          <w:i/>
          <w:sz w:val="24"/>
          <w:szCs w:val="24"/>
        </w:rPr>
        <w:t>Lancet</w:t>
      </w:r>
      <w:r w:rsidRPr="00D36AFD">
        <w:rPr>
          <w:rFonts w:ascii="Times New Roman" w:eastAsia="Times New Roman" w:hAnsi="Times New Roman" w:cs="Times New Roman"/>
          <w:sz w:val="24"/>
          <w:szCs w:val="24"/>
        </w:rPr>
        <w:t>. 2019;393(10184):1958-1972. doi:10.1016/S0140-6736(</w:t>
      </w:r>
      <w:proofErr w:type="gramStart"/>
      <w:r w:rsidRPr="00D36AFD">
        <w:rPr>
          <w:rFonts w:ascii="Times New Roman" w:eastAsia="Times New Roman" w:hAnsi="Times New Roman" w:cs="Times New Roman"/>
          <w:sz w:val="24"/>
          <w:szCs w:val="24"/>
        </w:rPr>
        <w:t>19)30041-8/ATTACHMENT/89650CE3-EC1A-450B-AD88-3B2DB16AD72D/MMC1.PDF</w:t>
      </w:r>
      <w:proofErr w:type="gramEnd"/>
    </w:p>
    <w:p w14:paraId="53116E8F"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25. </w:t>
      </w:r>
      <w:r w:rsidRPr="00D36AFD">
        <w:rPr>
          <w:rFonts w:ascii="Times New Roman" w:eastAsia="Times New Roman" w:hAnsi="Times New Roman" w:cs="Times New Roman"/>
          <w:sz w:val="24"/>
          <w:szCs w:val="24"/>
        </w:rPr>
        <w:tab/>
        <w:t xml:space="preserve">Malhotra A, Noakes T, Phinney S. It is time to bust the myth of physical inactivity and obesity: you cannot outrun a bad diet. </w:t>
      </w:r>
      <w:r w:rsidRPr="00D36AFD">
        <w:rPr>
          <w:rFonts w:ascii="Times New Roman" w:eastAsia="Times New Roman" w:hAnsi="Times New Roman" w:cs="Times New Roman"/>
          <w:i/>
          <w:sz w:val="24"/>
          <w:szCs w:val="24"/>
        </w:rPr>
        <w:t>Br J Sports Med</w:t>
      </w:r>
      <w:r w:rsidRPr="00D36AFD">
        <w:rPr>
          <w:rFonts w:ascii="Times New Roman" w:eastAsia="Times New Roman" w:hAnsi="Times New Roman" w:cs="Times New Roman"/>
          <w:sz w:val="24"/>
          <w:szCs w:val="24"/>
        </w:rPr>
        <w:t>. 2015;49(15):967-968. doi:10.1136/BJSPORTS-2015-094911</w:t>
      </w:r>
    </w:p>
    <w:p w14:paraId="5ECB3924"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26. </w:t>
      </w:r>
      <w:r w:rsidRPr="00D36AFD">
        <w:rPr>
          <w:rFonts w:ascii="Times New Roman" w:eastAsia="Times New Roman" w:hAnsi="Times New Roman" w:cs="Times New Roman"/>
          <w:sz w:val="24"/>
          <w:szCs w:val="24"/>
        </w:rPr>
        <w:tab/>
        <w:t xml:space="preserve">Kasomo JM, Gayawan E. Spatial location, temperature and rainfall diversity affect the double burden of malnutrition among women in Kenya. </w:t>
      </w:r>
      <w:r w:rsidRPr="00D36AFD">
        <w:rPr>
          <w:rFonts w:ascii="Times New Roman" w:eastAsia="Times New Roman" w:hAnsi="Times New Roman" w:cs="Times New Roman"/>
          <w:i/>
          <w:sz w:val="24"/>
          <w:szCs w:val="24"/>
        </w:rPr>
        <w:t>SSM - Popul Heal</w:t>
      </w:r>
      <w:r w:rsidRPr="00D36AFD">
        <w:rPr>
          <w:rFonts w:ascii="Times New Roman" w:eastAsia="Times New Roman" w:hAnsi="Times New Roman" w:cs="Times New Roman"/>
          <w:sz w:val="24"/>
          <w:szCs w:val="24"/>
        </w:rPr>
        <w:t xml:space="preserve">. </w:t>
      </w:r>
      <w:proofErr w:type="gramStart"/>
      <w:r w:rsidRPr="00D36AFD">
        <w:rPr>
          <w:rFonts w:ascii="Times New Roman" w:eastAsia="Times New Roman" w:hAnsi="Times New Roman" w:cs="Times New Roman"/>
          <w:sz w:val="24"/>
          <w:szCs w:val="24"/>
        </w:rPr>
        <w:t>2021;16:100939</w:t>
      </w:r>
      <w:proofErr w:type="gramEnd"/>
      <w:r w:rsidRPr="00D36AFD">
        <w:rPr>
          <w:rFonts w:ascii="Times New Roman" w:eastAsia="Times New Roman" w:hAnsi="Times New Roman" w:cs="Times New Roman"/>
          <w:sz w:val="24"/>
          <w:szCs w:val="24"/>
        </w:rPr>
        <w:t xml:space="preserve">. </w:t>
      </w:r>
      <w:proofErr w:type="gramStart"/>
      <w:r w:rsidRPr="00D36AFD">
        <w:rPr>
          <w:rFonts w:ascii="Times New Roman" w:eastAsia="Times New Roman" w:hAnsi="Times New Roman" w:cs="Times New Roman"/>
          <w:sz w:val="24"/>
          <w:szCs w:val="24"/>
        </w:rPr>
        <w:t>doi:10.1016/J.SSMPH</w:t>
      </w:r>
      <w:proofErr w:type="gramEnd"/>
      <w:r w:rsidRPr="00D36AFD">
        <w:rPr>
          <w:rFonts w:ascii="Times New Roman" w:eastAsia="Times New Roman" w:hAnsi="Times New Roman" w:cs="Times New Roman"/>
          <w:sz w:val="24"/>
          <w:szCs w:val="24"/>
        </w:rPr>
        <w:t>.2021.100939</w:t>
      </w:r>
    </w:p>
    <w:p w14:paraId="355C0813"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27. </w:t>
      </w:r>
      <w:r w:rsidRPr="00D36AFD">
        <w:rPr>
          <w:rFonts w:ascii="Times New Roman" w:eastAsia="Times New Roman" w:hAnsi="Times New Roman" w:cs="Times New Roman"/>
          <w:sz w:val="24"/>
          <w:szCs w:val="24"/>
        </w:rPr>
        <w:tab/>
        <w:t xml:space="preserve">Bose A, Mondal N, Sen J. Household Levels of Double Burden of Malnutrition in Low–Middle-income Countries: A Review: </w:t>
      </w:r>
      <w:r w:rsidRPr="00D36AFD">
        <w:rPr>
          <w:rFonts w:ascii="Times New Roman" w:eastAsia="Times New Roman" w:hAnsi="Times New Roman" w:cs="Times New Roman"/>
          <w:i/>
          <w:sz w:val="24"/>
          <w:szCs w:val="24"/>
        </w:rPr>
        <w:t>https://doi.org/101177/2277436X211043628</w:t>
      </w:r>
      <w:r w:rsidRPr="00D36AFD">
        <w:rPr>
          <w:rFonts w:ascii="Times New Roman" w:eastAsia="Times New Roman" w:hAnsi="Times New Roman" w:cs="Times New Roman"/>
          <w:sz w:val="24"/>
          <w:szCs w:val="24"/>
        </w:rPr>
        <w:t>. Published online October 27, 2021:2277436X2110436. doi:10.1177/2277436X211043628</w:t>
      </w:r>
    </w:p>
    <w:p w14:paraId="26AE8D42"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28. </w:t>
      </w:r>
      <w:r w:rsidRPr="00D36AFD">
        <w:rPr>
          <w:rFonts w:ascii="Times New Roman" w:eastAsia="Times New Roman" w:hAnsi="Times New Roman" w:cs="Times New Roman"/>
          <w:sz w:val="24"/>
          <w:szCs w:val="24"/>
        </w:rPr>
        <w:tab/>
        <w:t xml:space="preserve">Irache A, Gill P, Caleyachetty R. Intra-household double burden of overweight/obesity and anaemia: Evidence from 49 low-and middle-income countries. </w:t>
      </w:r>
      <w:r w:rsidRPr="00D36AFD">
        <w:rPr>
          <w:rFonts w:ascii="Times New Roman" w:eastAsia="Times New Roman" w:hAnsi="Times New Roman" w:cs="Times New Roman"/>
          <w:i/>
          <w:sz w:val="24"/>
          <w:szCs w:val="24"/>
        </w:rPr>
        <w:t>Matern Child Nutr</w:t>
      </w:r>
      <w:r w:rsidRPr="00D36AFD">
        <w:rPr>
          <w:rFonts w:ascii="Times New Roman" w:eastAsia="Times New Roman" w:hAnsi="Times New Roman" w:cs="Times New Roman"/>
          <w:sz w:val="24"/>
          <w:szCs w:val="24"/>
        </w:rPr>
        <w:t xml:space="preserve">. Published online </w:t>
      </w:r>
      <w:proofErr w:type="gramStart"/>
      <w:r w:rsidRPr="00D36AFD">
        <w:rPr>
          <w:rFonts w:ascii="Times New Roman" w:eastAsia="Times New Roman" w:hAnsi="Times New Roman" w:cs="Times New Roman"/>
          <w:sz w:val="24"/>
          <w:szCs w:val="24"/>
        </w:rPr>
        <w:t>2021:e</w:t>
      </w:r>
      <w:proofErr w:type="gramEnd"/>
      <w:r w:rsidRPr="00D36AFD">
        <w:rPr>
          <w:rFonts w:ascii="Times New Roman" w:eastAsia="Times New Roman" w:hAnsi="Times New Roman" w:cs="Times New Roman"/>
          <w:sz w:val="24"/>
          <w:szCs w:val="24"/>
        </w:rPr>
        <w:t>13298. doi:10.1111/MCN.13298</w:t>
      </w:r>
    </w:p>
    <w:p w14:paraId="116DD3FA"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29. </w:t>
      </w:r>
      <w:r w:rsidRPr="00D36AFD">
        <w:rPr>
          <w:rFonts w:ascii="Times New Roman" w:eastAsia="Times New Roman" w:hAnsi="Times New Roman" w:cs="Times New Roman"/>
          <w:sz w:val="24"/>
          <w:szCs w:val="24"/>
        </w:rPr>
        <w:tab/>
        <w:t xml:space="preserve">Adeomi A, Fatusi A, Klipstein-Grobusch K. Double burden of malnutrition among school-aged children and adolescents: evidence from a community-based cross-sectional survey in two Nigerian States. </w:t>
      </w:r>
      <w:r w:rsidRPr="00D36AFD">
        <w:rPr>
          <w:rFonts w:ascii="Times New Roman" w:eastAsia="Times New Roman" w:hAnsi="Times New Roman" w:cs="Times New Roman"/>
          <w:i/>
          <w:sz w:val="24"/>
          <w:szCs w:val="24"/>
        </w:rPr>
        <w:t>AAS Open Res</w:t>
      </w:r>
      <w:r w:rsidRPr="00D36AFD">
        <w:rPr>
          <w:rFonts w:ascii="Times New Roman" w:eastAsia="Times New Roman" w:hAnsi="Times New Roman" w:cs="Times New Roman"/>
          <w:sz w:val="24"/>
          <w:szCs w:val="24"/>
        </w:rPr>
        <w:t xml:space="preserve">. </w:t>
      </w:r>
      <w:proofErr w:type="gramStart"/>
      <w:r w:rsidRPr="00D36AFD">
        <w:rPr>
          <w:rFonts w:ascii="Times New Roman" w:eastAsia="Times New Roman" w:hAnsi="Times New Roman" w:cs="Times New Roman"/>
          <w:sz w:val="24"/>
          <w:szCs w:val="24"/>
        </w:rPr>
        <w:t>2021;4:38</w:t>
      </w:r>
      <w:proofErr w:type="gramEnd"/>
      <w:r w:rsidRPr="00D36AFD">
        <w:rPr>
          <w:rFonts w:ascii="Times New Roman" w:eastAsia="Times New Roman" w:hAnsi="Times New Roman" w:cs="Times New Roman"/>
          <w:sz w:val="24"/>
          <w:szCs w:val="24"/>
        </w:rPr>
        <w:t>. doi:10.12688/AASOPENRES.13257.1</w:t>
      </w:r>
    </w:p>
    <w:p w14:paraId="3D69DDBC"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30. </w:t>
      </w:r>
      <w:r w:rsidRPr="00D36AFD">
        <w:rPr>
          <w:rFonts w:ascii="Times New Roman" w:eastAsia="Times New Roman" w:hAnsi="Times New Roman" w:cs="Times New Roman"/>
          <w:sz w:val="24"/>
          <w:szCs w:val="24"/>
        </w:rPr>
        <w:tab/>
        <w:t xml:space="preserve">Kaldenbach S, Engebretsen IMS, Haskins L, Conolly C, Horwood C. Infant feeding, growth monitoring and the double burden of malnutrition among children aged 6 months and their mothers in KwaZulu-Natal, South Africa. </w:t>
      </w:r>
      <w:r w:rsidRPr="00D36AFD">
        <w:rPr>
          <w:rFonts w:ascii="Times New Roman" w:eastAsia="Times New Roman" w:hAnsi="Times New Roman" w:cs="Times New Roman"/>
          <w:i/>
          <w:sz w:val="24"/>
          <w:szCs w:val="24"/>
        </w:rPr>
        <w:t>Matern Child Nutr</w:t>
      </w:r>
      <w:r w:rsidRPr="00D36AFD">
        <w:rPr>
          <w:rFonts w:ascii="Times New Roman" w:eastAsia="Times New Roman" w:hAnsi="Times New Roman" w:cs="Times New Roman"/>
          <w:sz w:val="24"/>
          <w:szCs w:val="24"/>
        </w:rPr>
        <w:t xml:space="preserve">. </w:t>
      </w:r>
      <w:r w:rsidRPr="00D36AFD">
        <w:rPr>
          <w:rFonts w:ascii="Times New Roman" w:eastAsia="Times New Roman" w:hAnsi="Times New Roman" w:cs="Times New Roman"/>
          <w:sz w:val="24"/>
          <w:szCs w:val="24"/>
        </w:rPr>
        <w:lastRenderedPageBreak/>
        <w:t>2022;18(1</w:t>
      </w:r>
      <w:proofErr w:type="gramStart"/>
      <w:r w:rsidRPr="00D36AFD">
        <w:rPr>
          <w:rFonts w:ascii="Times New Roman" w:eastAsia="Times New Roman" w:hAnsi="Times New Roman" w:cs="Times New Roman"/>
          <w:sz w:val="24"/>
          <w:szCs w:val="24"/>
        </w:rPr>
        <w:t>):e</w:t>
      </w:r>
      <w:proofErr w:type="gramEnd"/>
      <w:r w:rsidRPr="00D36AFD">
        <w:rPr>
          <w:rFonts w:ascii="Times New Roman" w:eastAsia="Times New Roman" w:hAnsi="Times New Roman" w:cs="Times New Roman"/>
          <w:sz w:val="24"/>
          <w:szCs w:val="24"/>
        </w:rPr>
        <w:t>13288. doi:10.1111/MCN.13288</w:t>
      </w:r>
    </w:p>
    <w:p w14:paraId="216C4CD1"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31. </w:t>
      </w:r>
      <w:r w:rsidRPr="00D36AFD">
        <w:rPr>
          <w:rFonts w:ascii="Times New Roman" w:eastAsia="Times New Roman" w:hAnsi="Times New Roman" w:cs="Times New Roman"/>
          <w:sz w:val="24"/>
          <w:szCs w:val="24"/>
        </w:rPr>
        <w:tab/>
        <w:t xml:space="preserve">Reardon T, Tschirley D, Liverpool-Tasie LSO, et al. The processed food revolution in African food systems and the double burden of malnutrition. </w:t>
      </w:r>
      <w:r w:rsidRPr="00D36AFD">
        <w:rPr>
          <w:rFonts w:ascii="Times New Roman" w:eastAsia="Times New Roman" w:hAnsi="Times New Roman" w:cs="Times New Roman"/>
          <w:i/>
          <w:sz w:val="24"/>
          <w:szCs w:val="24"/>
        </w:rPr>
        <w:t>Glob Food Sec</w:t>
      </w:r>
      <w:r w:rsidRPr="00D36AFD">
        <w:rPr>
          <w:rFonts w:ascii="Times New Roman" w:eastAsia="Times New Roman" w:hAnsi="Times New Roman" w:cs="Times New Roman"/>
          <w:sz w:val="24"/>
          <w:szCs w:val="24"/>
        </w:rPr>
        <w:t xml:space="preserve">. </w:t>
      </w:r>
      <w:proofErr w:type="gramStart"/>
      <w:r w:rsidRPr="00D36AFD">
        <w:rPr>
          <w:rFonts w:ascii="Times New Roman" w:eastAsia="Times New Roman" w:hAnsi="Times New Roman" w:cs="Times New Roman"/>
          <w:sz w:val="24"/>
          <w:szCs w:val="24"/>
        </w:rPr>
        <w:t>2021;28:100466</w:t>
      </w:r>
      <w:proofErr w:type="gramEnd"/>
      <w:r w:rsidRPr="00D36AFD">
        <w:rPr>
          <w:rFonts w:ascii="Times New Roman" w:eastAsia="Times New Roman" w:hAnsi="Times New Roman" w:cs="Times New Roman"/>
          <w:sz w:val="24"/>
          <w:szCs w:val="24"/>
        </w:rPr>
        <w:t xml:space="preserve">. </w:t>
      </w:r>
      <w:proofErr w:type="gramStart"/>
      <w:r w:rsidRPr="00D36AFD">
        <w:rPr>
          <w:rFonts w:ascii="Times New Roman" w:eastAsia="Times New Roman" w:hAnsi="Times New Roman" w:cs="Times New Roman"/>
          <w:sz w:val="24"/>
          <w:szCs w:val="24"/>
        </w:rPr>
        <w:t>doi:10.1016/J.GFS</w:t>
      </w:r>
      <w:proofErr w:type="gramEnd"/>
      <w:r w:rsidRPr="00D36AFD">
        <w:rPr>
          <w:rFonts w:ascii="Times New Roman" w:eastAsia="Times New Roman" w:hAnsi="Times New Roman" w:cs="Times New Roman"/>
          <w:sz w:val="24"/>
          <w:szCs w:val="24"/>
        </w:rPr>
        <w:t>.2020.100466</w:t>
      </w:r>
    </w:p>
    <w:p w14:paraId="52CBA765"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32. </w:t>
      </w:r>
      <w:r w:rsidRPr="00D36AFD">
        <w:rPr>
          <w:rFonts w:ascii="Times New Roman" w:eastAsia="Times New Roman" w:hAnsi="Times New Roman" w:cs="Times New Roman"/>
          <w:sz w:val="24"/>
          <w:szCs w:val="24"/>
        </w:rPr>
        <w:tab/>
        <w:t xml:space="preserve">Mbogori T, Kimmel K, Zhang M, Kandiah J, Wang Y. Nutrition transition and double burden of malnutrition in Africa: A case study of four selected countries with different social economic development. </w:t>
      </w:r>
      <w:r w:rsidRPr="00D36AFD">
        <w:rPr>
          <w:rFonts w:ascii="Times New Roman" w:eastAsia="Times New Roman" w:hAnsi="Times New Roman" w:cs="Times New Roman"/>
          <w:i/>
          <w:sz w:val="24"/>
          <w:szCs w:val="24"/>
        </w:rPr>
        <w:t>AIMS Public Heal</w:t>
      </w:r>
      <w:r w:rsidRPr="00D36AFD">
        <w:rPr>
          <w:rFonts w:ascii="Times New Roman" w:eastAsia="Times New Roman" w:hAnsi="Times New Roman" w:cs="Times New Roman"/>
          <w:sz w:val="24"/>
          <w:szCs w:val="24"/>
        </w:rPr>
        <w:t>. 2020;7(3):425. doi:10.3934/PUBLICHEALTH.2020035</w:t>
      </w:r>
    </w:p>
    <w:p w14:paraId="69E1B3BE"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33. </w:t>
      </w:r>
      <w:r w:rsidRPr="00D36AFD">
        <w:rPr>
          <w:rFonts w:ascii="Times New Roman" w:eastAsia="Times New Roman" w:hAnsi="Times New Roman" w:cs="Times New Roman"/>
          <w:sz w:val="24"/>
          <w:szCs w:val="24"/>
        </w:rPr>
        <w:tab/>
        <w:t xml:space="preserve">Menon S, Peñalvo JL. Actions Targeting the Double Burden of Malnutrition: A Scoping Review. </w:t>
      </w:r>
      <w:r w:rsidRPr="00D36AFD">
        <w:rPr>
          <w:rFonts w:ascii="Times New Roman" w:eastAsia="Times New Roman" w:hAnsi="Times New Roman" w:cs="Times New Roman"/>
          <w:i/>
          <w:sz w:val="24"/>
          <w:szCs w:val="24"/>
        </w:rPr>
        <w:t>Nutr 2020, Vol 12, Page 81</w:t>
      </w:r>
      <w:r w:rsidRPr="00D36AFD">
        <w:rPr>
          <w:rFonts w:ascii="Times New Roman" w:eastAsia="Times New Roman" w:hAnsi="Times New Roman" w:cs="Times New Roman"/>
          <w:sz w:val="24"/>
          <w:szCs w:val="24"/>
        </w:rPr>
        <w:t>. 2019;12(1):81. doi:10.3390/NU12010081</w:t>
      </w:r>
    </w:p>
    <w:p w14:paraId="12B96900"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34. </w:t>
      </w:r>
      <w:r w:rsidRPr="00D36AFD">
        <w:rPr>
          <w:rFonts w:ascii="Times New Roman" w:eastAsia="Times New Roman" w:hAnsi="Times New Roman" w:cs="Times New Roman"/>
          <w:sz w:val="24"/>
          <w:szCs w:val="24"/>
        </w:rPr>
        <w:tab/>
        <w:t xml:space="preserve">Grajeda R, Hassell T, Ashby-Mitchell K, Uauy R, Nilson E. Regional Overview on the Double Burden of Malnutrition and Examples of Program and Policy Responses: Latin America and the Caribbean. </w:t>
      </w:r>
      <w:r w:rsidRPr="00D36AFD">
        <w:rPr>
          <w:rFonts w:ascii="Times New Roman" w:eastAsia="Times New Roman" w:hAnsi="Times New Roman" w:cs="Times New Roman"/>
          <w:i/>
          <w:sz w:val="24"/>
          <w:szCs w:val="24"/>
        </w:rPr>
        <w:t>Ann Nutr Metab</w:t>
      </w:r>
      <w:r w:rsidRPr="00D36AFD">
        <w:rPr>
          <w:rFonts w:ascii="Times New Roman" w:eastAsia="Times New Roman" w:hAnsi="Times New Roman" w:cs="Times New Roman"/>
          <w:sz w:val="24"/>
          <w:szCs w:val="24"/>
        </w:rPr>
        <w:t>. 2019;75(2):139-143. doi:10.1159/000503674</w:t>
      </w:r>
    </w:p>
    <w:p w14:paraId="6DFDEAD5"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35. </w:t>
      </w:r>
      <w:r w:rsidRPr="00D36AFD">
        <w:rPr>
          <w:rFonts w:ascii="Times New Roman" w:eastAsia="Times New Roman" w:hAnsi="Times New Roman" w:cs="Times New Roman"/>
          <w:sz w:val="24"/>
          <w:szCs w:val="24"/>
        </w:rPr>
        <w:tab/>
        <w:t xml:space="preserve">Thow AM, Waqa G, Browne J, et al. The political economy of restricting marketing to address the double burden of malnutrition: two case studies from Fiji. </w:t>
      </w:r>
      <w:r w:rsidRPr="00D36AFD">
        <w:rPr>
          <w:rFonts w:ascii="Times New Roman" w:eastAsia="Times New Roman" w:hAnsi="Times New Roman" w:cs="Times New Roman"/>
          <w:i/>
          <w:sz w:val="24"/>
          <w:szCs w:val="24"/>
        </w:rPr>
        <w:t>Public Health Nutr</w:t>
      </w:r>
      <w:r w:rsidRPr="00D36AFD">
        <w:rPr>
          <w:rFonts w:ascii="Times New Roman" w:eastAsia="Times New Roman" w:hAnsi="Times New Roman" w:cs="Times New Roman"/>
          <w:sz w:val="24"/>
          <w:szCs w:val="24"/>
        </w:rPr>
        <w:t>. 2021;24(2):354-363. doi:10.1017/S1368980020000440</w:t>
      </w:r>
    </w:p>
    <w:p w14:paraId="4126D24F"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36. </w:t>
      </w:r>
      <w:r w:rsidRPr="00D36AFD">
        <w:rPr>
          <w:rFonts w:ascii="Times New Roman" w:eastAsia="Times New Roman" w:hAnsi="Times New Roman" w:cs="Times New Roman"/>
          <w:sz w:val="24"/>
          <w:szCs w:val="24"/>
        </w:rPr>
        <w:tab/>
        <w:t>London. Nutrient Profiling Report of a WHO/IASO Technical Meeting.</w:t>
      </w:r>
    </w:p>
    <w:p w14:paraId="095EEDF4"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37. </w:t>
      </w:r>
      <w:r w:rsidRPr="00D36AFD">
        <w:rPr>
          <w:rFonts w:ascii="Times New Roman" w:eastAsia="Times New Roman" w:hAnsi="Times New Roman" w:cs="Times New Roman"/>
          <w:sz w:val="24"/>
          <w:szCs w:val="24"/>
        </w:rPr>
        <w:tab/>
        <w:t xml:space="preserve">Rayner M, Scarborough P, Stockley L. </w:t>
      </w:r>
      <w:r w:rsidRPr="00D36AFD">
        <w:rPr>
          <w:rFonts w:ascii="Times New Roman" w:eastAsia="Times New Roman" w:hAnsi="Times New Roman" w:cs="Times New Roman"/>
          <w:i/>
          <w:sz w:val="24"/>
          <w:szCs w:val="24"/>
        </w:rPr>
        <w:t>Nutrient Profiles: Options for Definitions for Use in Relation to Food Promotion and Children’s Diets Final Report</w:t>
      </w:r>
      <w:r w:rsidRPr="00D36AFD">
        <w:rPr>
          <w:rFonts w:ascii="Times New Roman" w:eastAsia="Times New Roman" w:hAnsi="Times New Roman" w:cs="Times New Roman"/>
          <w:sz w:val="24"/>
          <w:szCs w:val="24"/>
        </w:rPr>
        <w:t>.; 2004. Accessed May 11, 2022. https://www.researchgate.net/publication/267198176_Nutrient_profiles_Options_for_definitions_for_use_in_relation_to_food_promotion_and_children’s_diets_Final_report</w:t>
      </w:r>
    </w:p>
    <w:p w14:paraId="19DB6789"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38. </w:t>
      </w:r>
      <w:r w:rsidRPr="00D36AFD">
        <w:rPr>
          <w:rFonts w:ascii="Times New Roman" w:eastAsia="Times New Roman" w:hAnsi="Times New Roman" w:cs="Times New Roman"/>
          <w:sz w:val="24"/>
          <w:szCs w:val="24"/>
        </w:rPr>
        <w:tab/>
        <w:t xml:space="preserve">Arambepola C, Scarborough P, Rayner M. Validating a nutrient profile model. </w:t>
      </w:r>
      <w:r w:rsidRPr="00D36AFD">
        <w:rPr>
          <w:rFonts w:ascii="Times New Roman" w:eastAsia="Times New Roman" w:hAnsi="Times New Roman" w:cs="Times New Roman"/>
          <w:i/>
          <w:sz w:val="24"/>
          <w:szCs w:val="24"/>
        </w:rPr>
        <w:t>Public Health Nutr</w:t>
      </w:r>
      <w:r w:rsidRPr="00D36AFD">
        <w:rPr>
          <w:rFonts w:ascii="Times New Roman" w:eastAsia="Times New Roman" w:hAnsi="Times New Roman" w:cs="Times New Roman"/>
          <w:sz w:val="24"/>
          <w:szCs w:val="24"/>
        </w:rPr>
        <w:t>. 2008;11(4):371-378. doi:10.1017/S1368980007000377</w:t>
      </w:r>
    </w:p>
    <w:p w14:paraId="111FA799"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39. </w:t>
      </w:r>
      <w:r w:rsidRPr="00D36AFD">
        <w:rPr>
          <w:rFonts w:ascii="Times New Roman" w:eastAsia="Times New Roman" w:hAnsi="Times New Roman" w:cs="Times New Roman"/>
          <w:sz w:val="24"/>
          <w:szCs w:val="24"/>
        </w:rPr>
        <w:tab/>
        <w:t xml:space="preserve">Pomeranz JL, Wilde P, Huang Y, Micha R, Mozaffarian D. Legal and Administrative Feasibility of a Federal Junk Food and Sugar-Sweetened Beverage Tax to Improve Diet. </w:t>
      </w:r>
      <w:r w:rsidRPr="00D36AFD">
        <w:rPr>
          <w:rFonts w:ascii="Times New Roman" w:eastAsia="Times New Roman" w:hAnsi="Times New Roman" w:cs="Times New Roman"/>
          <w:i/>
          <w:sz w:val="24"/>
          <w:szCs w:val="24"/>
        </w:rPr>
        <w:t>Am J Public Health</w:t>
      </w:r>
      <w:r w:rsidRPr="00D36AFD">
        <w:rPr>
          <w:rFonts w:ascii="Times New Roman" w:eastAsia="Times New Roman" w:hAnsi="Times New Roman" w:cs="Times New Roman"/>
          <w:sz w:val="24"/>
          <w:szCs w:val="24"/>
        </w:rPr>
        <w:t>. 2018;108(2):203. doi:10.2105/AJPH.2017.304159</w:t>
      </w:r>
    </w:p>
    <w:p w14:paraId="066D4E3C"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40. </w:t>
      </w:r>
      <w:r w:rsidRPr="00D36AFD">
        <w:rPr>
          <w:rFonts w:ascii="Times New Roman" w:eastAsia="Times New Roman" w:hAnsi="Times New Roman" w:cs="Times New Roman"/>
          <w:sz w:val="24"/>
          <w:szCs w:val="24"/>
        </w:rPr>
        <w:tab/>
        <w:t xml:space="preserve">Pomeranz JL, Huang Y, Mozaffarian D, Micha R. Legal Feasibility and </w:t>
      </w:r>
      <w:r w:rsidRPr="00D36AFD">
        <w:rPr>
          <w:rFonts w:ascii="Times New Roman" w:eastAsia="Times New Roman" w:hAnsi="Times New Roman" w:cs="Times New Roman"/>
          <w:sz w:val="24"/>
          <w:szCs w:val="24"/>
        </w:rPr>
        <w:lastRenderedPageBreak/>
        <w:t xml:space="preserve">Implementation of Federal Strategies for a National Retail-Based Fruit and Vegetable Subsidy Program in the United States. </w:t>
      </w:r>
      <w:r w:rsidRPr="00D36AFD">
        <w:rPr>
          <w:rFonts w:ascii="Times New Roman" w:eastAsia="Times New Roman" w:hAnsi="Times New Roman" w:cs="Times New Roman"/>
          <w:i/>
          <w:sz w:val="24"/>
          <w:szCs w:val="24"/>
        </w:rPr>
        <w:t>Milbank Q</w:t>
      </w:r>
      <w:r w:rsidRPr="00D36AFD">
        <w:rPr>
          <w:rFonts w:ascii="Times New Roman" w:eastAsia="Times New Roman" w:hAnsi="Times New Roman" w:cs="Times New Roman"/>
          <w:sz w:val="24"/>
          <w:szCs w:val="24"/>
        </w:rPr>
        <w:t>. 2020;98(3):775-801. doi:10.1111/1468-0009.12461</w:t>
      </w:r>
    </w:p>
    <w:p w14:paraId="2A5F095F"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41. </w:t>
      </w:r>
      <w:r w:rsidRPr="00D36AFD">
        <w:rPr>
          <w:rFonts w:ascii="Times New Roman" w:eastAsia="Times New Roman" w:hAnsi="Times New Roman" w:cs="Times New Roman"/>
          <w:sz w:val="24"/>
          <w:szCs w:val="24"/>
        </w:rPr>
        <w:tab/>
        <w:t xml:space="preserve">Karim SA, Erzse A, Thow A-M, et al. The legal feasibility of adopting a sugar-sweetened beverage tax in seven sub-Saharan African countries. </w:t>
      </w:r>
      <w:r w:rsidRPr="00D36AFD">
        <w:rPr>
          <w:rFonts w:ascii="Times New Roman" w:eastAsia="Times New Roman" w:hAnsi="Times New Roman" w:cs="Times New Roman"/>
          <w:i/>
          <w:sz w:val="24"/>
          <w:szCs w:val="24"/>
        </w:rPr>
        <w:t>Glob Health Action</w:t>
      </w:r>
      <w:r w:rsidRPr="00D36AFD">
        <w:rPr>
          <w:rFonts w:ascii="Times New Roman" w:eastAsia="Times New Roman" w:hAnsi="Times New Roman" w:cs="Times New Roman"/>
          <w:sz w:val="24"/>
          <w:szCs w:val="24"/>
        </w:rPr>
        <w:t>. 2021;14(1). doi:10.1080/16549716.2021.1884358</w:t>
      </w:r>
    </w:p>
    <w:p w14:paraId="1AF7567C"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42. </w:t>
      </w:r>
      <w:r w:rsidRPr="00D36AFD">
        <w:rPr>
          <w:rFonts w:ascii="Times New Roman" w:eastAsia="Times New Roman" w:hAnsi="Times New Roman" w:cs="Times New Roman"/>
          <w:sz w:val="24"/>
          <w:szCs w:val="24"/>
        </w:rPr>
        <w:tab/>
        <w:t xml:space="preserve">King A. John W. Kingdon, Agendas, Alternatives, and Public Policies, Boston: Little, Brown, 1984, xi + 240 pp., $9.95. </w:t>
      </w:r>
      <w:r w:rsidRPr="00D36AFD">
        <w:rPr>
          <w:rFonts w:ascii="Times New Roman" w:eastAsia="Times New Roman" w:hAnsi="Times New Roman" w:cs="Times New Roman"/>
          <w:i/>
          <w:sz w:val="24"/>
          <w:szCs w:val="24"/>
        </w:rPr>
        <w:t>J Public Policy</w:t>
      </w:r>
      <w:r w:rsidRPr="00D36AFD">
        <w:rPr>
          <w:rFonts w:ascii="Times New Roman" w:eastAsia="Times New Roman" w:hAnsi="Times New Roman" w:cs="Times New Roman"/>
          <w:sz w:val="24"/>
          <w:szCs w:val="24"/>
        </w:rPr>
        <w:t>. 1985;5(2):281-283. doi:10.1017/S0143814X00003068</w:t>
      </w:r>
    </w:p>
    <w:p w14:paraId="1DBD85C7"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43. </w:t>
      </w:r>
      <w:r w:rsidRPr="00D36AFD">
        <w:rPr>
          <w:rFonts w:ascii="Times New Roman" w:eastAsia="Times New Roman" w:hAnsi="Times New Roman" w:cs="Times New Roman"/>
          <w:sz w:val="24"/>
          <w:szCs w:val="24"/>
        </w:rPr>
        <w:tab/>
        <w:t xml:space="preserve">Wismar M, Lin V, Jones CM, Davies M, Mcqueen D V. </w:t>
      </w:r>
      <w:r w:rsidRPr="00D36AFD">
        <w:rPr>
          <w:rFonts w:ascii="Times New Roman" w:eastAsia="Times New Roman" w:hAnsi="Times New Roman" w:cs="Times New Roman"/>
          <w:i/>
          <w:sz w:val="24"/>
          <w:szCs w:val="24"/>
        </w:rPr>
        <w:t>Intersectoral Governance for Health in All Policies. Structures, Actions and Experiences Intersectoral Governance for Health in All Policies</w:t>
      </w:r>
      <w:r w:rsidRPr="00D36AFD">
        <w:rPr>
          <w:rFonts w:ascii="Times New Roman" w:eastAsia="Times New Roman" w:hAnsi="Times New Roman" w:cs="Times New Roman"/>
          <w:sz w:val="24"/>
          <w:szCs w:val="24"/>
        </w:rPr>
        <w:t>. World Health Organization (WHO); 2012.</w:t>
      </w:r>
    </w:p>
    <w:p w14:paraId="0AC1D5A6"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44. </w:t>
      </w:r>
      <w:r w:rsidRPr="00D36AFD">
        <w:rPr>
          <w:rFonts w:ascii="Times New Roman" w:eastAsia="Times New Roman" w:hAnsi="Times New Roman" w:cs="Times New Roman"/>
          <w:sz w:val="24"/>
          <w:szCs w:val="24"/>
        </w:rPr>
        <w:tab/>
        <w:t xml:space="preserve">Sterman J. </w:t>
      </w:r>
      <w:r w:rsidRPr="00D36AFD">
        <w:rPr>
          <w:rFonts w:ascii="Times New Roman" w:eastAsia="Times New Roman" w:hAnsi="Times New Roman" w:cs="Times New Roman"/>
          <w:i/>
          <w:sz w:val="24"/>
          <w:szCs w:val="24"/>
        </w:rPr>
        <w:t>System Dynamics: Systems Thinking and Modeling for a Complex World</w:t>
      </w:r>
      <w:r w:rsidRPr="00D36AFD">
        <w:rPr>
          <w:rFonts w:ascii="Times New Roman" w:eastAsia="Times New Roman" w:hAnsi="Times New Roman" w:cs="Times New Roman"/>
          <w:sz w:val="24"/>
          <w:szCs w:val="24"/>
        </w:rPr>
        <w:t>.; 2002. Accessed May 5, 2022. https://dspace.mit.edu/handle/1721.1/102741</w:t>
      </w:r>
    </w:p>
    <w:p w14:paraId="492DF72E"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45. </w:t>
      </w:r>
      <w:r w:rsidRPr="00D36AFD">
        <w:rPr>
          <w:rFonts w:ascii="Times New Roman" w:eastAsia="Times New Roman" w:hAnsi="Times New Roman" w:cs="Times New Roman"/>
          <w:sz w:val="24"/>
          <w:szCs w:val="24"/>
        </w:rPr>
        <w:tab/>
        <w:t xml:space="preserve">Hosseinichimeh N, MacDonald R, Hyder A, et al. Group Model Building Techniques for Rapid Elicitation of Parameter Values, Effect Sizes, and Data Sources. </w:t>
      </w:r>
      <w:r w:rsidRPr="00D36AFD">
        <w:rPr>
          <w:rFonts w:ascii="Times New Roman" w:eastAsia="Times New Roman" w:hAnsi="Times New Roman" w:cs="Times New Roman"/>
          <w:i/>
          <w:sz w:val="24"/>
          <w:szCs w:val="24"/>
        </w:rPr>
        <w:t>Syst Dyn Rev</w:t>
      </w:r>
      <w:r w:rsidRPr="00D36AFD">
        <w:rPr>
          <w:rFonts w:ascii="Times New Roman" w:eastAsia="Times New Roman" w:hAnsi="Times New Roman" w:cs="Times New Roman"/>
          <w:sz w:val="24"/>
          <w:szCs w:val="24"/>
        </w:rPr>
        <w:t>. 2017;33(1):71-84. doi:10.1002/SDR.1575</w:t>
      </w:r>
    </w:p>
    <w:p w14:paraId="03706A32"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46. </w:t>
      </w:r>
      <w:r w:rsidRPr="00D36AFD">
        <w:rPr>
          <w:rFonts w:ascii="Times New Roman" w:eastAsia="Times New Roman" w:hAnsi="Times New Roman" w:cs="Times New Roman"/>
          <w:sz w:val="24"/>
          <w:szCs w:val="24"/>
        </w:rPr>
        <w:tab/>
        <w:t xml:space="preserve">Hovmand PS. Community based system dynamics. </w:t>
      </w:r>
      <w:r w:rsidRPr="00D36AFD">
        <w:rPr>
          <w:rFonts w:ascii="Times New Roman" w:eastAsia="Times New Roman" w:hAnsi="Times New Roman" w:cs="Times New Roman"/>
          <w:i/>
          <w:sz w:val="24"/>
          <w:szCs w:val="24"/>
        </w:rPr>
        <w:t>Community Based Syst Dyn</w:t>
      </w:r>
      <w:r w:rsidRPr="00D36AFD">
        <w:rPr>
          <w:rFonts w:ascii="Times New Roman" w:eastAsia="Times New Roman" w:hAnsi="Times New Roman" w:cs="Times New Roman"/>
          <w:sz w:val="24"/>
          <w:szCs w:val="24"/>
        </w:rPr>
        <w:t xml:space="preserve">. </w:t>
      </w:r>
      <w:proofErr w:type="gramStart"/>
      <w:r w:rsidRPr="00D36AFD">
        <w:rPr>
          <w:rFonts w:ascii="Times New Roman" w:eastAsia="Times New Roman" w:hAnsi="Times New Roman" w:cs="Times New Roman"/>
          <w:sz w:val="24"/>
          <w:szCs w:val="24"/>
        </w:rPr>
        <w:t>2014;9781461487630:1</w:t>
      </w:r>
      <w:proofErr w:type="gramEnd"/>
      <w:r w:rsidRPr="00D36AFD">
        <w:rPr>
          <w:rFonts w:ascii="Times New Roman" w:eastAsia="Times New Roman" w:hAnsi="Times New Roman" w:cs="Times New Roman"/>
          <w:sz w:val="24"/>
          <w:szCs w:val="24"/>
        </w:rPr>
        <w:t>-104. doi:10.1007/978-1-4614-8763-0</w:t>
      </w:r>
    </w:p>
    <w:p w14:paraId="0AA6A269" w14:textId="77777777" w:rsidR="00940635" w:rsidRPr="00D36AFD" w:rsidRDefault="00081B51">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47. </w:t>
      </w:r>
      <w:r w:rsidRPr="00D36AFD">
        <w:rPr>
          <w:rFonts w:ascii="Times New Roman" w:eastAsia="Times New Roman" w:hAnsi="Times New Roman" w:cs="Times New Roman"/>
          <w:sz w:val="24"/>
          <w:szCs w:val="24"/>
        </w:rPr>
        <w:tab/>
        <w:t xml:space="preserve">Sterman J. Reply to commentaries on “System Dynamics at Sixty: The Path Forward.” </w:t>
      </w:r>
      <w:r w:rsidRPr="00D36AFD">
        <w:rPr>
          <w:rFonts w:ascii="Times New Roman" w:eastAsia="Times New Roman" w:hAnsi="Times New Roman" w:cs="Times New Roman"/>
          <w:i/>
          <w:sz w:val="24"/>
          <w:szCs w:val="24"/>
        </w:rPr>
        <w:t>Syst Dyn Rev</w:t>
      </w:r>
      <w:r w:rsidRPr="00D36AFD">
        <w:rPr>
          <w:rFonts w:ascii="Times New Roman" w:eastAsia="Times New Roman" w:hAnsi="Times New Roman" w:cs="Times New Roman"/>
          <w:sz w:val="24"/>
          <w:szCs w:val="24"/>
        </w:rPr>
        <w:t>. 2019;35(1):35-51. doi:10.1002/SDR.1626</w:t>
      </w:r>
    </w:p>
    <w:p w14:paraId="22F59FE8" w14:textId="77777777" w:rsidR="005B3DDD" w:rsidRPr="00D36AFD" w:rsidRDefault="00081B51" w:rsidP="005B3DDD">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48. </w:t>
      </w:r>
      <w:r w:rsidRPr="00D36AFD">
        <w:rPr>
          <w:rFonts w:ascii="Times New Roman" w:eastAsia="Times New Roman" w:hAnsi="Times New Roman" w:cs="Times New Roman"/>
          <w:sz w:val="24"/>
          <w:szCs w:val="24"/>
        </w:rPr>
        <w:tab/>
        <w:t xml:space="preserve">Sterman J. System dynamics at sixty: the path forward. </w:t>
      </w:r>
      <w:r w:rsidRPr="00D36AFD">
        <w:rPr>
          <w:rFonts w:ascii="Times New Roman" w:eastAsia="Times New Roman" w:hAnsi="Times New Roman" w:cs="Times New Roman"/>
          <w:i/>
          <w:sz w:val="24"/>
          <w:szCs w:val="24"/>
        </w:rPr>
        <w:t>Syst Dyn Rev</w:t>
      </w:r>
      <w:r w:rsidRPr="00D36AFD">
        <w:rPr>
          <w:rFonts w:ascii="Times New Roman" w:eastAsia="Times New Roman" w:hAnsi="Times New Roman" w:cs="Times New Roman"/>
          <w:sz w:val="24"/>
          <w:szCs w:val="24"/>
        </w:rPr>
        <w:t>. 2018;34(1-2):5-47. doi:10.1002/SDR.1601</w:t>
      </w:r>
    </w:p>
    <w:p w14:paraId="544FEAC6" w14:textId="77777777" w:rsidR="005B3DDD" w:rsidRPr="00D36AFD" w:rsidRDefault="005B3DDD" w:rsidP="005B3DDD">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49. </w:t>
      </w:r>
      <w:r w:rsidRPr="00D36AFD">
        <w:rPr>
          <w:rFonts w:ascii="Times New Roman" w:eastAsia="Times New Roman" w:hAnsi="Times New Roman" w:cs="Times New Roman"/>
          <w:sz w:val="24"/>
          <w:szCs w:val="24"/>
        </w:rPr>
        <w:tab/>
        <w:t>Wang, H., Wang, B., Tu, X. M., Liu, J., &amp; Feng, C. (2018). Sample sizes based on three popular indices of risks. </w:t>
      </w:r>
      <w:r w:rsidRPr="00D36AFD">
        <w:rPr>
          <w:rFonts w:ascii="Times New Roman" w:eastAsia="Times New Roman" w:hAnsi="Times New Roman" w:cs="Times New Roman"/>
          <w:i/>
          <w:iCs/>
          <w:sz w:val="24"/>
          <w:szCs w:val="24"/>
        </w:rPr>
        <w:t>General Psychiatry</w:t>
      </w:r>
      <w:r w:rsidRPr="00D36AFD">
        <w:rPr>
          <w:rFonts w:ascii="Times New Roman" w:eastAsia="Times New Roman" w:hAnsi="Times New Roman" w:cs="Times New Roman"/>
          <w:sz w:val="24"/>
          <w:szCs w:val="24"/>
        </w:rPr>
        <w:t>, </w:t>
      </w:r>
      <w:r w:rsidRPr="00D36AFD">
        <w:rPr>
          <w:rFonts w:ascii="Times New Roman" w:eastAsia="Times New Roman" w:hAnsi="Times New Roman" w:cs="Times New Roman"/>
          <w:i/>
          <w:iCs/>
          <w:sz w:val="24"/>
          <w:szCs w:val="24"/>
        </w:rPr>
        <w:t>31</w:t>
      </w:r>
      <w:r w:rsidRPr="00D36AFD">
        <w:rPr>
          <w:rFonts w:ascii="Times New Roman" w:eastAsia="Times New Roman" w:hAnsi="Times New Roman" w:cs="Times New Roman"/>
          <w:sz w:val="24"/>
          <w:szCs w:val="24"/>
        </w:rPr>
        <w:t>(3).</w:t>
      </w:r>
    </w:p>
    <w:p w14:paraId="04D5D74E" w14:textId="25718D08" w:rsidR="005B3DDD" w:rsidRPr="00D36AFD" w:rsidRDefault="005B3DDD" w:rsidP="005B3DDD">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t xml:space="preserve">50. </w:t>
      </w:r>
      <w:r w:rsidRPr="00D36AFD">
        <w:rPr>
          <w:rFonts w:ascii="Times New Roman" w:eastAsia="Times New Roman" w:hAnsi="Times New Roman" w:cs="Times New Roman"/>
          <w:sz w:val="24"/>
          <w:szCs w:val="24"/>
        </w:rPr>
        <w:tab/>
        <w:t>Bopape, M., De Man, J., Taillie, L. S., Ng, S. W., Murukutla, N., &amp; Swart, R. (2022). Effect of different front-of-package food labels on identification of unhealthy products and intention to purchase the products–A randomised controlled trial in South Africa. </w:t>
      </w:r>
      <w:r w:rsidRPr="00D36AFD">
        <w:rPr>
          <w:rFonts w:ascii="Times New Roman" w:eastAsia="Times New Roman" w:hAnsi="Times New Roman" w:cs="Times New Roman"/>
          <w:i/>
          <w:iCs/>
          <w:sz w:val="24"/>
          <w:szCs w:val="24"/>
        </w:rPr>
        <w:t>Appetite</w:t>
      </w:r>
      <w:r w:rsidRPr="00D36AFD">
        <w:rPr>
          <w:rFonts w:ascii="Times New Roman" w:eastAsia="Times New Roman" w:hAnsi="Times New Roman" w:cs="Times New Roman"/>
          <w:sz w:val="24"/>
          <w:szCs w:val="24"/>
        </w:rPr>
        <w:t>, </w:t>
      </w:r>
      <w:r w:rsidRPr="00D36AFD">
        <w:rPr>
          <w:rFonts w:ascii="Times New Roman" w:eastAsia="Times New Roman" w:hAnsi="Times New Roman" w:cs="Times New Roman"/>
          <w:i/>
          <w:iCs/>
          <w:sz w:val="24"/>
          <w:szCs w:val="24"/>
        </w:rPr>
        <w:t>179</w:t>
      </w:r>
      <w:r w:rsidRPr="00D36AFD">
        <w:rPr>
          <w:rFonts w:ascii="Times New Roman" w:eastAsia="Times New Roman" w:hAnsi="Times New Roman" w:cs="Times New Roman"/>
          <w:sz w:val="24"/>
          <w:szCs w:val="24"/>
        </w:rPr>
        <w:t>, 106283.</w:t>
      </w:r>
    </w:p>
    <w:p w14:paraId="0900A89D" w14:textId="0BE507DB" w:rsidR="005B3DDD" w:rsidRDefault="005B3DDD">
      <w:pPr>
        <w:widowControl w:val="0"/>
        <w:spacing w:line="360" w:lineRule="auto"/>
        <w:ind w:left="640" w:hanging="640"/>
        <w:rPr>
          <w:rFonts w:ascii="Times New Roman" w:eastAsia="Times New Roman" w:hAnsi="Times New Roman" w:cs="Times New Roman"/>
          <w:sz w:val="24"/>
          <w:szCs w:val="24"/>
        </w:rPr>
      </w:pPr>
      <w:r w:rsidRPr="00D36AFD">
        <w:rPr>
          <w:rFonts w:ascii="Times New Roman" w:eastAsia="Times New Roman" w:hAnsi="Times New Roman" w:cs="Times New Roman"/>
          <w:sz w:val="24"/>
          <w:szCs w:val="24"/>
        </w:rPr>
        <w:lastRenderedPageBreak/>
        <w:t xml:space="preserve">51. </w:t>
      </w:r>
      <w:r w:rsidRPr="00D36AFD">
        <w:rPr>
          <w:rFonts w:ascii="Times New Roman" w:eastAsia="Times New Roman" w:hAnsi="Times New Roman" w:cs="Times New Roman"/>
          <w:sz w:val="24"/>
          <w:szCs w:val="24"/>
        </w:rPr>
        <w:tab/>
        <w:t>Egnell, M., Galan, P., Farpour-Lambert, N. J., Talati, Z., Pettigrew, S., Hercberg, S., &amp; Julia, C. (2020). Compared to other front-of-pack nutrition labels, the Nutri-Score emerged as the most efficient to inform Swiss consumers on the nutritional quality of food products. </w:t>
      </w:r>
      <w:r w:rsidRPr="00D36AFD">
        <w:rPr>
          <w:rFonts w:ascii="Times New Roman" w:eastAsia="Times New Roman" w:hAnsi="Times New Roman" w:cs="Times New Roman"/>
          <w:i/>
          <w:iCs/>
          <w:sz w:val="24"/>
          <w:szCs w:val="24"/>
        </w:rPr>
        <w:t>PLoS One</w:t>
      </w:r>
      <w:r w:rsidRPr="00D36AFD">
        <w:rPr>
          <w:rFonts w:ascii="Times New Roman" w:eastAsia="Times New Roman" w:hAnsi="Times New Roman" w:cs="Times New Roman"/>
          <w:sz w:val="24"/>
          <w:szCs w:val="24"/>
        </w:rPr>
        <w:t>, </w:t>
      </w:r>
      <w:r w:rsidRPr="00D36AFD">
        <w:rPr>
          <w:rFonts w:ascii="Times New Roman" w:eastAsia="Times New Roman" w:hAnsi="Times New Roman" w:cs="Times New Roman"/>
          <w:i/>
          <w:iCs/>
          <w:sz w:val="24"/>
          <w:szCs w:val="24"/>
        </w:rPr>
        <w:t>15</w:t>
      </w:r>
      <w:r w:rsidRPr="00D36AFD">
        <w:rPr>
          <w:rFonts w:ascii="Times New Roman" w:eastAsia="Times New Roman" w:hAnsi="Times New Roman" w:cs="Times New Roman"/>
          <w:sz w:val="24"/>
          <w:szCs w:val="24"/>
        </w:rPr>
        <w:t>(2), e0228179.</w:t>
      </w:r>
    </w:p>
    <w:p w14:paraId="7312B33E" w14:textId="77777777" w:rsidR="005B3DDD" w:rsidRDefault="005B3DDD" w:rsidP="005B3DDD">
      <w:pPr>
        <w:widowControl w:val="0"/>
        <w:spacing w:line="360" w:lineRule="auto"/>
        <w:rPr>
          <w:rFonts w:ascii="Times New Roman" w:eastAsia="Times New Roman" w:hAnsi="Times New Roman" w:cs="Times New Roman"/>
          <w:sz w:val="24"/>
          <w:szCs w:val="24"/>
        </w:rPr>
      </w:pPr>
    </w:p>
    <w:p w14:paraId="10D661E1" w14:textId="729B6062" w:rsidR="005B3DDD" w:rsidRDefault="005B3DDD" w:rsidP="005B3DDD">
      <w:pPr>
        <w:widowControl w:val="0"/>
        <w:spacing w:line="360" w:lineRule="auto"/>
        <w:ind w:left="640" w:hanging="640"/>
        <w:rPr>
          <w:rFonts w:ascii="Times New Roman" w:eastAsia="Times New Roman" w:hAnsi="Times New Roman" w:cs="Times New Roman"/>
          <w:sz w:val="24"/>
          <w:szCs w:val="24"/>
        </w:rPr>
      </w:pPr>
    </w:p>
    <w:p w14:paraId="6D7089C9" w14:textId="77777777" w:rsidR="00940635" w:rsidRDefault="00940635">
      <w:pPr>
        <w:spacing w:line="360" w:lineRule="auto"/>
        <w:jc w:val="both"/>
        <w:rPr>
          <w:rFonts w:ascii="Times New Roman" w:eastAsia="Times New Roman" w:hAnsi="Times New Roman" w:cs="Times New Roman"/>
          <w:color w:val="000000"/>
          <w:sz w:val="24"/>
          <w:szCs w:val="24"/>
        </w:rPr>
      </w:pPr>
    </w:p>
    <w:p w14:paraId="1162CF2C" w14:textId="77777777" w:rsidR="00940635" w:rsidRDefault="00940635">
      <w:pPr>
        <w:spacing w:line="360" w:lineRule="auto"/>
        <w:jc w:val="both"/>
        <w:rPr>
          <w:rFonts w:ascii="Times New Roman" w:eastAsia="Times New Roman" w:hAnsi="Times New Roman" w:cs="Times New Roman"/>
          <w:color w:val="000000"/>
          <w:sz w:val="24"/>
          <w:szCs w:val="24"/>
        </w:rPr>
      </w:pPr>
    </w:p>
    <w:p w14:paraId="16B274DF" w14:textId="77777777" w:rsidR="00940635" w:rsidRDefault="00940635">
      <w:pPr>
        <w:spacing w:line="360" w:lineRule="auto"/>
        <w:jc w:val="both"/>
        <w:rPr>
          <w:rFonts w:ascii="Times New Roman" w:eastAsia="Times New Roman" w:hAnsi="Times New Roman" w:cs="Times New Roman"/>
          <w:color w:val="000000"/>
          <w:sz w:val="24"/>
          <w:szCs w:val="24"/>
        </w:rPr>
      </w:pPr>
    </w:p>
    <w:p w14:paraId="573A5717" w14:textId="77777777" w:rsidR="00940635" w:rsidRDefault="00940635">
      <w:pPr>
        <w:spacing w:line="360" w:lineRule="auto"/>
        <w:jc w:val="both"/>
        <w:rPr>
          <w:rFonts w:ascii="Times New Roman" w:eastAsia="Times New Roman" w:hAnsi="Times New Roman" w:cs="Times New Roman"/>
          <w:color w:val="000000"/>
          <w:sz w:val="24"/>
          <w:szCs w:val="24"/>
        </w:rPr>
      </w:pPr>
    </w:p>
    <w:p w14:paraId="742C0384" w14:textId="77777777" w:rsidR="00940635" w:rsidRDefault="00940635">
      <w:pPr>
        <w:spacing w:line="360" w:lineRule="auto"/>
        <w:jc w:val="both"/>
        <w:rPr>
          <w:rFonts w:ascii="Times New Roman" w:eastAsia="Times New Roman" w:hAnsi="Times New Roman" w:cs="Times New Roman"/>
          <w:color w:val="000000"/>
          <w:sz w:val="24"/>
          <w:szCs w:val="24"/>
        </w:rPr>
      </w:pPr>
    </w:p>
    <w:sectPr w:rsidR="00940635">
      <w:pgSz w:w="11906" w:h="16838"/>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84612" w14:textId="77777777" w:rsidR="00401414" w:rsidRDefault="00401414">
      <w:pPr>
        <w:spacing w:after="0" w:line="240" w:lineRule="auto"/>
      </w:pPr>
      <w:r>
        <w:separator/>
      </w:r>
    </w:p>
  </w:endnote>
  <w:endnote w:type="continuationSeparator" w:id="0">
    <w:p w14:paraId="7FD67DC7" w14:textId="77777777" w:rsidR="00401414" w:rsidRDefault="00401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B5426" w14:textId="77777777" w:rsidR="008411BC" w:rsidRDefault="008411BC">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1B0CA" w14:textId="62AC564F" w:rsidR="008411BC" w:rsidRDefault="008411BC">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821E0">
      <w:rPr>
        <w:noProof/>
        <w:color w:val="000000"/>
      </w:rPr>
      <w:t>13</w:t>
    </w:r>
    <w:r>
      <w:rPr>
        <w:color w:val="000000"/>
      </w:rPr>
      <w:fldChar w:fldCharType="end"/>
    </w:r>
  </w:p>
  <w:p w14:paraId="584828FF" w14:textId="77777777" w:rsidR="008411BC" w:rsidRDefault="008411BC">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A122A" w14:textId="77777777" w:rsidR="008411BC" w:rsidRDefault="008411BC">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8959B" w14:textId="77777777" w:rsidR="00401414" w:rsidRDefault="00401414">
      <w:pPr>
        <w:spacing w:after="0" w:line="240" w:lineRule="auto"/>
      </w:pPr>
      <w:r>
        <w:separator/>
      </w:r>
    </w:p>
  </w:footnote>
  <w:footnote w:type="continuationSeparator" w:id="0">
    <w:p w14:paraId="7FACFD52" w14:textId="77777777" w:rsidR="00401414" w:rsidRDefault="004014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92ABA" w14:textId="77777777" w:rsidR="008411BC" w:rsidRDefault="008411BC">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56A02" w14:textId="77777777" w:rsidR="008411BC" w:rsidRDefault="008411BC">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AE005" w14:textId="77777777" w:rsidR="008411BC" w:rsidRDefault="008411BC">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C6F25"/>
    <w:multiLevelType w:val="hybridMultilevel"/>
    <w:tmpl w:val="D00E58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DF1FBB"/>
    <w:multiLevelType w:val="hybridMultilevel"/>
    <w:tmpl w:val="8634005C"/>
    <w:lvl w:ilvl="0" w:tplc="0809000F">
      <w:start w:val="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977FA"/>
    <w:multiLevelType w:val="multilevel"/>
    <w:tmpl w:val="F18C06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DD31A4D"/>
    <w:multiLevelType w:val="multilevel"/>
    <w:tmpl w:val="75EC67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FB5149"/>
    <w:multiLevelType w:val="multilevel"/>
    <w:tmpl w:val="60BC8308"/>
    <w:lvl w:ilvl="0">
      <w:start w:val="1"/>
      <w:numFmt w:val="decimal"/>
      <w:lvlText w:val="%1."/>
      <w:lvlJc w:val="left"/>
      <w:pPr>
        <w:ind w:left="410" w:hanging="360"/>
      </w:pPr>
    </w:lvl>
    <w:lvl w:ilvl="1">
      <w:start w:val="1"/>
      <w:numFmt w:val="lowerLetter"/>
      <w:lvlText w:val="%2."/>
      <w:lvlJc w:val="left"/>
      <w:pPr>
        <w:ind w:left="1130" w:hanging="360"/>
      </w:pPr>
    </w:lvl>
    <w:lvl w:ilvl="2">
      <w:start w:val="1"/>
      <w:numFmt w:val="lowerRoman"/>
      <w:lvlText w:val="%3."/>
      <w:lvlJc w:val="right"/>
      <w:pPr>
        <w:ind w:left="1850" w:hanging="180"/>
      </w:pPr>
    </w:lvl>
    <w:lvl w:ilvl="3">
      <w:start w:val="1"/>
      <w:numFmt w:val="decimal"/>
      <w:lvlText w:val="%4."/>
      <w:lvlJc w:val="left"/>
      <w:pPr>
        <w:ind w:left="2570" w:hanging="360"/>
      </w:pPr>
    </w:lvl>
    <w:lvl w:ilvl="4">
      <w:start w:val="1"/>
      <w:numFmt w:val="lowerLetter"/>
      <w:lvlText w:val="%5."/>
      <w:lvlJc w:val="left"/>
      <w:pPr>
        <w:ind w:left="3290" w:hanging="360"/>
      </w:pPr>
    </w:lvl>
    <w:lvl w:ilvl="5">
      <w:start w:val="1"/>
      <w:numFmt w:val="lowerRoman"/>
      <w:lvlText w:val="%6."/>
      <w:lvlJc w:val="right"/>
      <w:pPr>
        <w:ind w:left="4010" w:hanging="180"/>
      </w:pPr>
    </w:lvl>
    <w:lvl w:ilvl="6">
      <w:start w:val="1"/>
      <w:numFmt w:val="decimal"/>
      <w:lvlText w:val="%7."/>
      <w:lvlJc w:val="left"/>
      <w:pPr>
        <w:ind w:left="4730" w:hanging="360"/>
      </w:pPr>
    </w:lvl>
    <w:lvl w:ilvl="7">
      <w:start w:val="1"/>
      <w:numFmt w:val="lowerLetter"/>
      <w:lvlText w:val="%8."/>
      <w:lvlJc w:val="left"/>
      <w:pPr>
        <w:ind w:left="5450" w:hanging="360"/>
      </w:pPr>
    </w:lvl>
    <w:lvl w:ilvl="8">
      <w:start w:val="1"/>
      <w:numFmt w:val="lowerRoman"/>
      <w:lvlText w:val="%9."/>
      <w:lvlJc w:val="right"/>
      <w:pPr>
        <w:ind w:left="6170" w:hanging="180"/>
      </w:pPr>
    </w:lvl>
  </w:abstractNum>
  <w:abstractNum w:abstractNumId="5" w15:restartNumberingAfterBreak="0">
    <w:nsid w:val="150515CF"/>
    <w:multiLevelType w:val="multilevel"/>
    <w:tmpl w:val="99642852"/>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B4376A6"/>
    <w:multiLevelType w:val="multilevel"/>
    <w:tmpl w:val="2FE0EE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4B709D9"/>
    <w:multiLevelType w:val="multilevel"/>
    <w:tmpl w:val="18806A9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50426CE"/>
    <w:multiLevelType w:val="multilevel"/>
    <w:tmpl w:val="D976139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DA65138"/>
    <w:multiLevelType w:val="hybridMultilevel"/>
    <w:tmpl w:val="4664FACC"/>
    <w:lvl w:ilvl="0" w:tplc="060EA3B0">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7F76B0"/>
    <w:multiLevelType w:val="hybridMultilevel"/>
    <w:tmpl w:val="6A48A4C8"/>
    <w:lvl w:ilvl="0" w:tplc="0809000F">
      <w:start w:val="4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2468D6"/>
    <w:multiLevelType w:val="multilevel"/>
    <w:tmpl w:val="6D20F7E2"/>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BD5247E"/>
    <w:multiLevelType w:val="multilevel"/>
    <w:tmpl w:val="44C811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09947744">
    <w:abstractNumId w:val="12"/>
  </w:num>
  <w:num w:numId="2" w16cid:durableId="736247794">
    <w:abstractNumId w:val="6"/>
  </w:num>
  <w:num w:numId="3" w16cid:durableId="2021539463">
    <w:abstractNumId w:val="3"/>
  </w:num>
  <w:num w:numId="4" w16cid:durableId="1422484172">
    <w:abstractNumId w:val="8"/>
  </w:num>
  <w:num w:numId="5" w16cid:durableId="1064908745">
    <w:abstractNumId w:val="2"/>
  </w:num>
  <w:num w:numId="6" w16cid:durableId="309483465">
    <w:abstractNumId w:val="7"/>
  </w:num>
  <w:num w:numId="7" w16cid:durableId="71509578">
    <w:abstractNumId w:val="11"/>
  </w:num>
  <w:num w:numId="8" w16cid:durableId="1903128384">
    <w:abstractNumId w:val="5"/>
  </w:num>
  <w:num w:numId="9" w16cid:durableId="629095039">
    <w:abstractNumId w:val="4"/>
  </w:num>
  <w:num w:numId="10" w16cid:durableId="1659532873">
    <w:abstractNumId w:val="9"/>
  </w:num>
  <w:num w:numId="11" w16cid:durableId="201288349">
    <w:abstractNumId w:val="0"/>
  </w:num>
  <w:num w:numId="12" w16cid:durableId="1430739891">
    <w:abstractNumId w:val="10"/>
  </w:num>
  <w:num w:numId="13" w16cid:durableId="20130998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635"/>
    <w:rsid w:val="00013B19"/>
    <w:rsid w:val="00081B51"/>
    <w:rsid w:val="000A2D7A"/>
    <w:rsid w:val="002122A8"/>
    <w:rsid w:val="002A432E"/>
    <w:rsid w:val="003579A4"/>
    <w:rsid w:val="00360BC8"/>
    <w:rsid w:val="00401414"/>
    <w:rsid w:val="004438B1"/>
    <w:rsid w:val="005B3DDD"/>
    <w:rsid w:val="00634BB9"/>
    <w:rsid w:val="0076567A"/>
    <w:rsid w:val="007F28C6"/>
    <w:rsid w:val="00823EA0"/>
    <w:rsid w:val="008411BC"/>
    <w:rsid w:val="0087663C"/>
    <w:rsid w:val="008D0214"/>
    <w:rsid w:val="008D5FD5"/>
    <w:rsid w:val="00914B7F"/>
    <w:rsid w:val="00921359"/>
    <w:rsid w:val="00940635"/>
    <w:rsid w:val="00A41124"/>
    <w:rsid w:val="00C17A81"/>
    <w:rsid w:val="00C821E0"/>
    <w:rsid w:val="00CB1862"/>
    <w:rsid w:val="00D36AFD"/>
    <w:rsid w:val="00D410E2"/>
    <w:rsid w:val="00D60D34"/>
    <w:rsid w:val="00DD343A"/>
    <w:rsid w:val="00F92FCB"/>
    <w:rsid w:val="00F93108"/>
    <w:rsid w:val="00FB6CDF"/>
    <w:rsid w:val="00FD36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7EF051"/>
  <w15:docId w15:val="{197FC128-111E-43EA-9F0D-583516398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5A50"/>
  </w:style>
  <w:style w:type="paragraph" w:styleId="Heading1">
    <w:name w:val="heading 1"/>
    <w:basedOn w:val="Normal"/>
    <w:next w:val="Normal"/>
    <w:link w:val="Heading1Char"/>
    <w:uiPriority w:val="9"/>
    <w:qFormat/>
    <w:rsid w:val="00B235ED"/>
    <w:pPr>
      <w:keepNext/>
      <w:keepLines/>
      <w:spacing w:before="240" w:after="0"/>
      <w:outlineLvl w:val="0"/>
    </w:pPr>
    <w:rPr>
      <w:rFonts w:ascii="Times New Roman" w:eastAsiaTheme="majorEastAsia" w:hAnsi="Times New Roman" w:cstheme="majorBidi"/>
      <w:b/>
      <w:color w:val="000000" w:themeColor="text1"/>
      <w:sz w:val="28"/>
      <w:szCs w:val="32"/>
      <w:lang w:val="en-US"/>
    </w:rPr>
  </w:style>
  <w:style w:type="paragraph" w:styleId="Heading2">
    <w:name w:val="heading 2"/>
    <w:basedOn w:val="Normal"/>
    <w:next w:val="Normal"/>
    <w:link w:val="Heading2Char"/>
    <w:uiPriority w:val="9"/>
    <w:unhideWhenUsed/>
    <w:qFormat/>
    <w:rsid w:val="00C82383"/>
    <w:pPr>
      <w:keepNext/>
      <w:keepLines/>
      <w:spacing w:before="40" w:after="0"/>
      <w:outlineLvl w:val="1"/>
    </w:pPr>
    <w:rPr>
      <w:rFonts w:ascii="Times New Roman" w:eastAsiaTheme="majorEastAsia" w:hAnsi="Times New Roman" w:cstheme="majorBidi"/>
      <w:b/>
      <w:color w:val="0D0D0D" w:themeColor="text1" w:themeTint="F2"/>
      <w:sz w:val="24"/>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EndNoteBibliographyTitle">
    <w:name w:val="EndNote Bibliography Title"/>
    <w:basedOn w:val="Normal"/>
    <w:link w:val="EndNoteBibliographyTitleChar"/>
    <w:rsid w:val="00F8070A"/>
    <w:pPr>
      <w:spacing w:after="0"/>
      <w:jc w:val="center"/>
    </w:pPr>
    <w:rPr>
      <w:noProof/>
      <w:lang w:val="en-US"/>
    </w:rPr>
  </w:style>
  <w:style w:type="character" w:customStyle="1" w:styleId="EndNoteBibliographyTitleChar">
    <w:name w:val="EndNote Bibliography Title Char"/>
    <w:basedOn w:val="DefaultParagraphFont"/>
    <w:link w:val="EndNoteBibliographyTitle"/>
    <w:rsid w:val="00F8070A"/>
    <w:rPr>
      <w:rFonts w:ascii="Calibri" w:hAnsi="Calibri" w:cs="Calibri"/>
      <w:noProof/>
      <w:lang w:val="en-US"/>
    </w:rPr>
  </w:style>
  <w:style w:type="paragraph" w:customStyle="1" w:styleId="EndNoteBibliography">
    <w:name w:val="EndNote Bibliography"/>
    <w:basedOn w:val="Normal"/>
    <w:link w:val="EndNoteBibliographyChar"/>
    <w:rsid w:val="00F8070A"/>
    <w:pPr>
      <w:spacing w:line="240" w:lineRule="auto"/>
    </w:pPr>
    <w:rPr>
      <w:noProof/>
      <w:lang w:val="en-US"/>
    </w:rPr>
  </w:style>
  <w:style w:type="character" w:customStyle="1" w:styleId="EndNoteBibliographyChar">
    <w:name w:val="EndNote Bibliography Char"/>
    <w:basedOn w:val="DefaultParagraphFont"/>
    <w:link w:val="EndNoteBibliography"/>
    <w:rsid w:val="00F8070A"/>
    <w:rPr>
      <w:rFonts w:ascii="Calibri" w:hAnsi="Calibri" w:cs="Calibri"/>
      <w:noProof/>
      <w:lang w:val="en-US"/>
    </w:rPr>
  </w:style>
  <w:style w:type="character" w:styleId="Hyperlink">
    <w:name w:val="Hyperlink"/>
    <w:basedOn w:val="DefaultParagraphFont"/>
    <w:uiPriority w:val="99"/>
    <w:unhideWhenUsed/>
    <w:rsid w:val="008D4F9F"/>
    <w:rPr>
      <w:color w:val="0563C1" w:themeColor="hyperlink"/>
      <w:u w:val="single"/>
    </w:rPr>
  </w:style>
  <w:style w:type="paragraph" w:styleId="ListParagraph">
    <w:name w:val="List Paragraph"/>
    <w:basedOn w:val="Normal"/>
    <w:uiPriority w:val="34"/>
    <w:qFormat/>
    <w:rsid w:val="00D27869"/>
    <w:pPr>
      <w:ind w:left="720"/>
      <w:contextualSpacing/>
    </w:pPr>
  </w:style>
  <w:style w:type="paragraph" w:styleId="Caption">
    <w:name w:val="caption"/>
    <w:basedOn w:val="Normal"/>
    <w:next w:val="Normal"/>
    <w:uiPriority w:val="35"/>
    <w:unhideWhenUsed/>
    <w:qFormat/>
    <w:rsid w:val="00046714"/>
    <w:pPr>
      <w:spacing w:after="200" w:line="240" w:lineRule="auto"/>
    </w:pPr>
    <w:rPr>
      <w:i/>
      <w:iCs/>
      <w:color w:val="44546A" w:themeColor="text2"/>
      <w:sz w:val="18"/>
      <w:szCs w:val="18"/>
    </w:rPr>
  </w:style>
  <w:style w:type="paragraph" w:styleId="NormalWeb">
    <w:name w:val="Normal (Web)"/>
    <w:basedOn w:val="Normal"/>
    <w:uiPriority w:val="99"/>
    <w:unhideWhenUsed/>
    <w:rsid w:val="002F6C8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7D3D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D68"/>
  </w:style>
  <w:style w:type="paragraph" w:styleId="Footer">
    <w:name w:val="footer"/>
    <w:basedOn w:val="Normal"/>
    <w:link w:val="FooterChar"/>
    <w:uiPriority w:val="99"/>
    <w:unhideWhenUsed/>
    <w:rsid w:val="007D3D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D68"/>
  </w:style>
  <w:style w:type="table" w:customStyle="1" w:styleId="TableGrid3">
    <w:name w:val="Table Grid3"/>
    <w:basedOn w:val="TableNormal"/>
    <w:next w:val="TableGrid"/>
    <w:uiPriority w:val="39"/>
    <w:rsid w:val="00531F04"/>
    <w:pPr>
      <w:spacing w:after="0" w:line="240" w:lineRule="auto"/>
    </w:pPr>
    <w:rPr>
      <w:rFonts w:eastAsia="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31F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944796"/>
    <w:pPr>
      <w:spacing w:after="0" w:line="240" w:lineRule="auto"/>
    </w:pPr>
    <w:rPr>
      <w:sz w:val="20"/>
      <w:szCs w:val="20"/>
    </w:rPr>
  </w:style>
  <w:style w:type="character" w:customStyle="1" w:styleId="EndnoteTextChar">
    <w:name w:val="Endnote Text Char"/>
    <w:basedOn w:val="DefaultParagraphFont"/>
    <w:link w:val="EndnoteText"/>
    <w:uiPriority w:val="99"/>
    <w:rsid w:val="00944796"/>
    <w:rPr>
      <w:sz w:val="20"/>
      <w:szCs w:val="20"/>
    </w:rPr>
  </w:style>
  <w:style w:type="character" w:styleId="EndnoteReference">
    <w:name w:val="endnote reference"/>
    <w:basedOn w:val="DefaultParagraphFont"/>
    <w:uiPriority w:val="99"/>
    <w:semiHidden/>
    <w:unhideWhenUsed/>
    <w:rsid w:val="00944796"/>
    <w:rPr>
      <w:vertAlign w:val="superscript"/>
    </w:rPr>
  </w:style>
  <w:style w:type="character" w:styleId="CommentReference">
    <w:name w:val="annotation reference"/>
    <w:basedOn w:val="DefaultParagraphFont"/>
    <w:uiPriority w:val="99"/>
    <w:semiHidden/>
    <w:unhideWhenUsed/>
    <w:rsid w:val="00FD6FBB"/>
    <w:rPr>
      <w:sz w:val="16"/>
      <w:szCs w:val="16"/>
    </w:rPr>
  </w:style>
  <w:style w:type="paragraph" w:styleId="CommentText">
    <w:name w:val="annotation text"/>
    <w:basedOn w:val="Normal"/>
    <w:link w:val="CommentTextChar"/>
    <w:uiPriority w:val="99"/>
    <w:semiHidden/>
    <w:unhideWhenUsed/>
    <w:rsid w:val="00FD6FBB"/>
    <w:pPr>
      <w:spacing w:line="240" w:lineRule="auto"/>
    </w:pPr>
    <w:rPr>
      <w:sz w:val="20"/>
      <w:szCs w:val="20"/>
    </w:rPr>
  </w:style>
  <w:style w:type="character" w:customStyle="1" w:styleId="CommentTextChar">
    <w:name w:val="Comment Text Char"/>
    <w:basedOn w:val="DefaultParagraphFont"/>
    <w:link w:val="CommentText"/>
    <w:uiPriority w:val="99"/>
    <w:semiHidden/>
    <w:rsid w:val="00FD6FBB"/>
    <w:rPr>
      <w:sz w:val="20"/>
      <w:szCs w:val="20"/>
    </w:rPr>
  </w:style>
  <w:style w:type="paragraph" w:styleId="CommentSubject">
    <w:name w:val="annotation subject"/>
    <w:basedOn w:val="CommentText"/>
    <w:next w:val="CommentText"/>
    <w:link w:val="CommentSubjectChar"/>
    <w:uiPriority w:val="99"/>
    <w:semiHidden/>
    <w:unhideWhenUsed/>
    <w:rsid w:val="00FD6FBB"/>
    <w:rPr>
      <w:b/>
      <w:bCs/>
    </w:rPr>
  </w:style>
  <w:style w:type="character" w:customStyle="1" w:styleId="CommentSubjectChar">
    <w:name w:val="Comment Subject Char"/>
    <w:basedOn w:val="CommentTextChar"/>
    <w:link w:val="CommentSubject"/>
    <w:uiPriority w:val="99"/>
    <w:semiHidden/>
    <w:rsid w:val="00FD6FBB"/>
    <w:rPr>
      <w:b/>
      <w:bCs/>
      <w:sz w:val="20"/>
      <w:szCs w:val="20"/>
    </w:rPr>
  </w:style>
  <w:style w:type="paragraph" w:styleId="BalloonText">
    <w:name w:val="Balloon Text"/>
    <w:basedOn w:val="Normal"/>
    <w:link w:val="BalloonTextChar"/>
    <w:uiPriority w:val="99"/>
    <w:semiHidden/>
    <w:unhideWhenUsed/>
    <w:rsid w:val="00FD6F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FBB"/>
    <w:rPr>
      <w:rFonts w:ascii="Segoe UI" w:hAnsi="Segoe UI" w:cs="Segoe UI"/>
      <w:sz w:val="18"/>
      <w:szCs w:val="18"/>
    </w:rPr>
  </w:style>
  <w:style w:type="paragraph" w:customStyle="1" w:styleId="Default">
    <w:name w:val="Default"/>
    <w:rsid w:val="00FD6FB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B235ED"/>
    <w:rPr>
      <w:rFonts w:ascii="Times New Roman" w:eastAsiaTheme="majorEastAsia" w:hAnsi="Times New Roman" w:cstheme="majorBidi"/>
      <w:b/>
      <w:color w:val="000000" w:themeColor="text1"/>
      <w:sz w:val="28"/>
      <w:szCs w:val="32"/>
      <w:lang w:val="en-US"/>
    </w:rPr>
  </w:style>
  <w:style w:type="character" w:customStyle="1" w:styleId="Heading2Char">
    <w:name w:val="Heading 2 Char"/>
    <w:basedOn w:val="DefaultParagraphFont"/>
    <w:link w:val="Heading2"/>
    <w:uiPriority w:val="9"/>
    <w:rsid w:val="00C82383"/>
    <w:rPr>
      <w:rFonts w:ascii="Times New Roman" w:eastAsiaTheme="majorEastAsia" w:hAnsi="Times New Roman" w:cstheme="majorBidi"/>
      <w:b/>
      <w:color w:val="0D0D0D" w:themeColor="text1" w:themeTint="F2"/>
      <w:sz w:val="24"/>
      <w:szCs w:val="26"/>
    </w:rPr>
  </w:style>
  <w:style w:type="paragraph" w:styleId="TOCHeading">
    <w:name w:val="TOC Heading"/>
    <w:basedOn w:val="Heading1"/>
    <w:next w:val="Normal"/>
    <w:uiPriority w:val="39"/>
    <w:unhideWhenUsed/>
    <w:qFormat/>
    <w:rsid w:val="00AB725D"/>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AB725D"/>
    <w:pPr>
      <w:spacing w:after="100"/>
    </w:pPr>
  </w:style>
  <w:style w:type="paragraph" w:styleId="TOC2">
    <w:name w:val="toc 2"/>
    <w:basedOn w:val="Normal"/>
    <w:next w:val="Normal"/>
    <w:autoRedefine/>
    <w:uiPriority w:val="39"/>
    <w:unhideWhenUsed/>
    <w:rsid w:val="00AB725D"/>
    <w:pPr>
      <w:spacing w:after="100"/>
      <w:ind w:left="220"/>
    </w:pPr>
  </w:style>
  <w:style w:type="paragraph" w:styleId="Revision">
    <w:name w:val="Revision"/>
    <w:hidden/>
    <w:uiPriority w:val="99"/>
    <w:semiHidden/>
    <w:rsid w:val="005E2D82"/>
    <w:pPr>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character" w:styleId="PlaceholderText">
    <w:name w:val="Placeholder Text"/>
    <w:basedOn w:val="DefaultParagraphFont"/>
    <w:uiPriority w:val="99"/>
    <w:semiHidden/>
    <w:rsid w:val="0042254A"/>
    <w:rPr>
      <w:color w:val="808080"/>
    </w:rPr>
  </w:style>
  <w:style w:type="table" w:customStyle="1" w:styleId="aa">
    <w:basedOn w:val="TableNormal"/>
    <w:pPr>
      <w:spacing w:after="0" w:line="240" w:lineRule="auto"/>
    </w:pPr>
    <w:tblPr>
      <w:tblStyleRowBandSize w:val="1"/>
      <w:tblStyleColBandSize w:val="1"/>
      <w:tblCellMar>
        <w:left w:w="115" w:type="dxa"/>
        <w:right w:w="115" w:type="dxa"/>
      </w:tblCellMar>
    </w:tblPr>
  </w:style>
  <w:style w:type="table" w:customStyle="1" w:styleId="ab">
    <w:basedOn w:val="TableNormal"/>
    <w:pPr>
      <w:spacing w:after="0" w:line="240" w:lineRule="auto"/>
    </w:pPr>
    <w:tblPr>
      <w:tblStyleRowBandSize w:val="1"/>
      <w:tblStyleColBandSize w:val="1"/>
      <w:tblCellMar>
        <w:left w:w="115" w:type="dxa"/>
        <w:right w:w="115" w:type="dxa"/>
      </w:tblCellMar>
    </w:tblPr>
  </w:style>
  <w:style w:type="table" w:customStyle="1" w:styleId="ac">
    <w:basedOn w:val="TableNormal"/>
    <w:pPr>
      <w:spacing w:after="0" w:line="240" w:lineRule="auto"/>
    </w:pPr>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aphrc.org/catalog/microdata/index.php/catalog"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gasiki@aphrc.or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pixuSZCW1leLi7swdWtvFSGV0dQ==">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7FE5F65-9B72-4FE7-9936-5BB2BE459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39</Pages>
  <Words>11833</Words>
  <Characters>67453</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Caliph  Kirui</cp:lastModifiedBy>
  <cp:revision>7</cp:revision>
  <dcterms:created xsi:type="dcterms:W3CDTF">2023-11-22T06:47:00Z</dcterms:created>
  <dcterms:modified xsi:type="dcterms:W3CDTF">2024-02-22T06:04:00Z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1dbe4b60edb84487fe7fb5c20ad48804a9b9f20f8152ef679a6092445fed9688</vt:lpwstr>
  </property>
  <property fmtid="{D5CDD505-2E9C-101B-9397-08002B2CF9AE}" pid="3" name="Mendeley Document_1">
    <vt:lpwstr>True</vt:lpwstr>
  </property>
  <property fmtid="{D5CDD505-2E9C-101B-9397-08002B2CF9AE}" pid="4" name="Mendeley Unique User Id_1">
    <vt:lpwstr>9f7c11ce-e693-399e-976b-21c90e70f9ae</vt:lpwstr>
  </property>
  <property fmtid="{D5CDD505-2E9C-101B-9397-08002B2CF9AE}" pid="5" name="Mendeley Citation Style_1">
    <vt:lpwstr>http://www.zotero.org/styles/ieee</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 11th edition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7th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 6th edition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12th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9th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