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sz w:val="28"/>
          <w:szCs w:val="28"/>
          <w:u w:val="single"/>
        </w:rPr>
      </w:pPr>
      <w:bookmarkStart w:id="0" w:name="_GoBack"/>
      <w:bookmarkEnd w:id="0"/>
      <w:r>
        <w:rPr>
          <w:rFonts w:ascii="Calibri" w:eastAsia="Calibri" w:hAnsi="Calibri" w:cs="Calibri"/>
          <w:b/>
          <w:bCs/>
          <w:sz w:val="28"/>
          <w:szCs w:val="28"/>
          <w:u w:val="single"/>
        </w:rPr>
        <w:t xml:space="preserve">(RQ3 A)- OPPORTUNITIES FOR UPTAKE </w:t>
      </w:r>
    </w:p>
    <w:p w14:paraId="0000000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sz w:val="28"/>
          <w:szCs w:val="28"/>
          <w:u w:val="single"/>
        </w:rPr>
      </w:pPr>
    </w:p>
    <w:p w14:paraId="0000000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sz w:val="26"/>
          <w:szCs w:val="26"/>
          <w:shd w:val="clear" w:color="auto" w:fill="9900FF"/>
        </w:rPr>
      </w:pPr>
      <w:r>
        <w:rPr>
          <w:rFonts w:ascii="Calibri" w:eastAsia="Calibri" w:hAnsi="Calibri" w:cs="Calibri"/>
          <w:b/>
          <w:bCs/>
          <w:sz w:val="26"/>
          <w:szCs w:val="26"/>
          <w:shd w:val="clear" w:color="auto" w:fill="9900FF"/>
        </w:rPr>
        <w:t>Description: Identify and evaluate the opportunities  to the uptake of the current SRGBV prevention policies and guidelines in Kenya’s schools.</w:t>
      </w:r>
    </w:p>
    <w:p w14:paraId="0000000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sz w:val="28"/>
          <w:szCs w:val="28"/>
          <w:highlight w:val="yellow"/>
        </w:rPr>
      </w:pPr>
    </w:p>
    <w:p w14:paraId="0000000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8"/>
          <w:szCs w:val="28"/>
          <w:highlight w:val="yellow"/>
        </w:rPr>
      </w:pPr>
      <w:r>
        <w:rPr>
          <w:rFonts w:ascii="Calibri" w:eastAsia="Calibri" w:hAnsi="Calibri" w:cs="Calibri"/>
          <w:b/>
          <w:bCs/>
          <w:color w:val="000000"/>
          <w:sz w:val="28"/>
          <w:szCs w:val="28"/>
          <w:highlight w:val="yellow"/>
        </w:rPr>
        <w:t xml:space="preserve">Theme 1: </w:t>
      </w:r>
      <w:r>
        <w:rPr>
          <w:rFonts w:ascii="Calibri" w:eastAsia="Calibri" w:hAnsi="Calibri" w:cs="Calibri"/>
          <w:color w:val="000000"/>
          <w:sz w:val="28"/>
          <w:szCs w:val="28"/>
          <w:highlight w:val="yellow"/>
        </w:rPr>
        <w:t>Teacher Training reforms</w:t>
      </w:r>
    </w:p>
    <w:p w14:paraId="0000000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0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&lt;Files\\SRGBV Policy Review BEFORE CODING (2)&gt; - § 4 references coded  [0.18% Coverage]</w:t>
      </w:r>
    </w:p>
    <w:p w14:paraId="0000000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00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1 - 0.05% Coverage</w:t>
      </w:r>
    </w:p>
    <w:p w14:paraId="0000000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00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Integration of gender-sensitive approaches into curricula and teacher training.</w:t>
      </w:r>
    </w:p>
    <w:p w14:paraId="0000000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00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2 - 0.04% Coverage</w:t>
      </w:r>
    </w:p>
    <w:p w14:paraId="0000000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00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Integration of child p</w:t>
      </w:r>
      <w:r>
        <w:rPr>
          <w:rFonts w:ascii="Quattrocento Sans" w:eastAsia="Quattrocento Sans" w:hAnsi="Quattrocento Sans" w:cs="Quattrocento Sans"/>
          <w:color w:val="000000"/>
          <w:sz w:val="20"/>
          <w:szCs w:val="20"/>
        </w:rPr>
        <w:t>rotection into teacher training and school culture</w:t>
      </w:r>
    </w:p>
    <w:p w14:paraId="0000001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01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3 - 0.05% Coverage</w:t>
      </w:r>
    </w:p>
    <w:p w14:paraId="0000001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01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Integration of gender-responsive pedagogy in national teacher training programs.</w:t>
      </w:r>
    </w:p>
    <w:p w14:paraId="0000001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01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4 - 0.04% Coverage</w:t>
      </w:r>
    </w:p>
    <w:p w14:paraId="0000001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017" w14:textId="77777777" w:rsidR="008F439D" w:rsidRDefault="00303ECB">
      <w:pPr>
        <w:rPr>
          <w:rFonts w:ascii="Quattrocento Sans" w:eastAsia="Quattrocento Sans" w:hAnsi="Quattrocento Sans" w:cs="Quattrocento Sans"/>
          <w:sz w:val="20"/>
          <w:szCs w:val="20"/>
        </w:rPr>
      </w:pPr>
      <w:r>
        <w:rPr>
          <w:rFonts w:ascii="Quattrocento Sans" w:eastAsia="Quattrocento Sans" w:hAnsi="Quattrocento Sans" w:cs="Quattrocento Sans"/>
          <w:sz w:val="20"/>
          <w:szCs w:val="20"/>
        </w:rPr>
        <w:t>– Teacher willingness to use counseling and awareness creation</w:t>
      </w:r>
    </w:p>
    <w:p w14:paraId="00000018" w14:textId="77777777" w:rsidR="008F439D" w:rsidRDefault="008F439D">
      <w:pPr>
        <w:rPr>
          <w:rFonts w:ascii="Quattrocento Sans" w:eastAsia="Quattrocento Sans" w:hAnsi="Quattrocento Sans" w:cs="Quattrocento Sans"/>
          <w:sz w:val="20"/>
          <w:szCs w:val="20"/>
        </w:rPr>
      </w:pPr>
    </w:p>
    <w:p w14:paraId="0000001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8"/>
          <w:szCs w:val="28"/>
          <w:highlight w:val="yellow"/>
        </w:rPr>
      </w:pPr>
      <w:r>
        <w:rPr>
          <w:rFonts w:ascii="Quattrocento Sans" w:eastAsia="Quattrocento Sans" w:hAnsi="Quattrocento Sans" w:cs="Quattrocento Sans"/>
          <w:color w:val="000000"/>
          <w:sz w:val="28"/>
          <w:szCs w:val="28"/>
          <w:highlight w:val="yellow"/>
        </w:rPr>
        <w:t>Theme 2</w:t>
      </w:r>
      <w:r>
        <w:rPr>
          <w:rFonts w:ascii="Calibri" w:eastAsia="Calibri" w:hAnsi="Calibri" w:cs="Calibri"/>
          <w:color w:val="000000"/>
          <w:sz w:val="28"/>
          <w:szCs w:val="28"/>
          <w:highlight w:val="yellow"/>
        </w:rPr>
        <w:t>: Sociopolitical Goodwill and International commitment</w:t>
      </w:r>
    </w:p>
    <w:p w14:paraId="0000001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1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&lt;Files\\SRGBV Policy Review BEFORE CODING (2)&gt; - § 17 references coded  [0.61% Coverage]</w:t>
      </w:r>
    </w:p>
    <w:p w14:paraId="0000001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1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1 - 0.01% Coverage</w:t>
      </w:r>
    </w:p>
    <w:p w14:paraId="0000001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1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Political visibility and priority: The policy helps raise GBV on the national agenda; when political leadership supports it, uptake is easier.</w:t>
      </w:r>
    </w:p>
    <w:p w14:paraId="0000002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2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2 - 0.03% Coverage</w:t>
      </w:r>
    </w:p>
    <w:p w14:paraId="0000002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2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Strong government ownership through the Ministry of Education, ensuring policy-le</w:t>
      </w:r>
      <w:r>
        <w:rPr>
          <w:rFonts w:ascii="Calibri" w:eastAsia="Calibri" w:hAnsi="Calibri" w:cs="Calibri"/>
          <w:color w:val="000000"/>
          <w:sz w:val="22"/>
          <w:szCs w:val="22"/>
        </w:rPr>
        <w:t>vel support</w:t>
      </w:r>
    </w:p>
    <w:p w14:paraId="0000002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2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3 - 0.02% Coverage</w:t>
      </w:r>
    </w:p>
    <w:p w14:paraId="0000002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2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presidential leadership and visibility.</w:t>
      </w:r>
    </w:p>
    <w:p w14:paraId="0000002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2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4 - 0.02% Coverage</w:t>
      </w:r>
    </w:p>
    <w:p w14:paraId="0000002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2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Global partnerships via UN Women and GEF.</w:t>
      </w:r>
    </w:p>
    <w:p w14:paraId="0000002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2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5 - 0.04% Coverage</w:t>
      </w:r>
    </w:p>
    <w:p w14:paraId="0000002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2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lastRenderedPageBreak/>
        <w:t>• Global and regional momentum on ending violence against children and promoting girls’ education.</w:t>
      </w:r>
    </w:p>
    <w:p w14:paraId="0000003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3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6 - 0.03% Coverage</w:t>
      </w:r>
    </w:p>
    <w:p w14:paraId="0000003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3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government ownership and multi-agency coordination</w:t>
      </w:r>
    </w:p>
    <w:p w14:paraId="0000003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3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7 - 0.03% Coverage</w:t>
      </w:r>
    </w:p>
    <w:p w14:paraId="0000003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3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National and global commitment to</w:t>
      </w:r>
      <w:r>
        <w:rPr>
          <w:rFonts w:ascii="Calibri" w:eastAsia="Calibri" w:hAnsi="Calibri" w:cs="Calibri"/>
          <w:color w:val="000000"/>
          <w:sz w:val="22"/>
          <w:szCs w:val="22"/>
        </w:rPr>
        <w:t xml:space="preserve"> ending violence in schools (SDG 4 &amp; 5).</w:t>
      </w:r>
    </w:p>
    <w:p w14:paraId="0000003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3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8 - 0.05% Coverage</w:t>
      </w:r>
    </w:p>
    <w:p w14:paraId="0000003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3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government partnership and policy alignment (devolution).</w:t>
      </w:r>
    </w:p>
    <w:p w14:paraId="0000003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3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9 - 0.05% Coverage</w:t>
      </w:r>
    </w:p>
    <w:p w14:paraId="0000003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3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Existing networks of faith-based organizations across Kenya</w:t>
      </w:r>
    </w:p>
    <w:p w14:paraId="0000004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4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10 - 0.05% Coverage</w:t>
      </w:r>
    </w:p>
    <w:p w14:paraId="0000004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4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moral and community influence of religious institutions.</w:t>
      </w:r>
    </w:p>
    <w:p w14:paraId="0000004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4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11 - 0.06% Coverage</w:t>
      </w:r>
    </w:p>
    <w:p w14:paraId="0000004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4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collaboration between ministries and development partners (UNICEF, UNESCO, UNGEI, Plan International, FAWE).</w:t>
      </w:r>
    </w:p>
    <w:p w14:paraId="0000004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4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w:t>
      </w:r>
      <w:r>
        <w:rPr>
          <w:rFonts w:ascii="Calibri" w:eastAsia="Calibri" w:hAnsi="Calibri" w:cs="Calibri"/>
          <w:color w:val="000000"/>
          <w:sz w:val="22"/>
          <w:szCs w:val="22"/>
          <w:shd w:val="clear" w:color="auto" w:fill="D3D3D3"/>
        </w:rPr>
        <w:t>e 12 - 0.05% Coverage</w:t>
      </w:r>
    </w:p>
    <w:p w14:paraId="0000004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4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local interest and community participation through schools and local leaders.</w:t>
      </w:r>
    </w:p>
    <w:p w14:paraId="0000004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4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13 - 0.03% Coverage</w:t>
      </w:r>
    </w:p>
    <w:p w14:paraId="0000004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4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Endorsement by UN bodies enhances credibility.</w:t>
      </w:r>
    </w:p>
    <w:p w14:paraId="0000005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5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14 - 0.03% Coverage</w:t>
      </w:r>
    </w:p>
    <w:p w14:paraId="0000005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5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Global recognition and endorsement by UN agencies and partners.</w:t>
      </w:r>
    </w:p>
    <w:p w14:paraId="0000005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5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15 - 0.04% Coverage</w:t>
      </w:r>
    </w:p>
    <w:p w14:paraId="0000005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5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Integration with inter-agency humanitarian reform and cluster systems.</w:t>
      </w:r>
    </w:p>
    <w:p w14:paraId="0000005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5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16 - 0.03% Coverage</w:t>
      </w:r>
    </w:p>
    <w:p w14:paraId="0000005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5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government and partner commitment to gender equality.</w:t>
      </w:r>
    </w:p>
    <w:p w14:paraId="0000005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5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17 - 0.04% Coverage</w:t>
      </w:r>
    </w:p>
    <w:p w14:paraId="0000005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5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Post-2015 Development Agenda offers global policy traction for SRGBV integration.</w:t>
      </w:r>
    </w:p>
    <w:p w14:paraId="0000006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6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8"/>
          <w:szCs w:val="28"/>
          <w:highlight w:val="yellow"/>
        </w:rPr>
      </w:pPr>
      <w:r>
        <w:rPr>
          <w:rFonts w:ascii="Calibri" w:eastAsia="Calibri" w:hAnsi="Calibri" w:cs="Calibri"/>
          <w:color w:val="000000"/>
          <w:sz w:val="28"/>
          <w:szCs w:val="28"/>
          <w:highlight w:val="yellow"/>
        </w:rPr>
        <w:t>Theme 3: Multi-Sectoral Coordination and Partnership Ecosystems</w:t>
      </w:r>
    </w:p>
    <w:p w14:paraId="0000006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6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&lt;Files\\SRGBV Policy Review BEFORE CODING (2)&gt; - § 20 references coded  [0.75% Coverage]</w:t>
      </w:r>
    </w:p>
    <w:p w14:paraId="0000006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6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1 - 0.02% Coverage</w:t>
      </w:r>
    </w:p>
    <w:p w14:paraId="0000006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6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Multi-sectoral / interagency framework: The policy envisions cross-sector collaboration (health, justice, gender, education, social serv</w:t>
      </w:r>
      <w:r>
        <w:rPr>
          <w:rFonts w:ascii="Calibri" w:eastAsia="Calibri" w:hAnsi="Calibri" w:cs="Calibri"/>
          <w:color w:val="000000"/>
          <w:sz w:val="22"/>
          <w:szCs w:val="22"/>
        </w:rPr>
        <w:t xml:space="preserve">ices) which can harness synergies rather than siloed efforts.      </w:t>
      </w:r>
    </w:p>
    <w:p w14:paraId="0000006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6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2 - 0.03% Coverage</w:t>
      </w:r>
    </w:p>
    <w:p w14:paraId="0000006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6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4. Multi-sectoral standard operating procedures, workplace policies, and men-to-men programmes that support prevention and response</w:t>
      </w:r>
    </w:p>
    <w:p w14:paraId="0000006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6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3 - 0.04% Coverage</w:t>
      </w:r>
    </w:p>
    <w:p w14:paraId="0000006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6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7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Potential for multi-sectoral collaboration with NGOs, local government, and emergency services in promoting school safety .</w:t>
      </w:r>
    </w:p>
    <w:p w14:paraId="0000007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7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4 - 0.06% Coverage</w:t>
      </w:r>
    </w:p>
    <w:p w14:paraId="0000007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7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Mandates collaboration across education, health, and justice sectors</w:t>
      </w:r>
      <w:r>
        <w:rPr>
          <w:rFonts w:ascii="Calibri" w:eastAsia="Calibri" w:hAnsi="Calibri" w:cs="Calibri"/>
          <w:color w:val="000000"/>
          <w:sz w:val="22"/>
          <w:szCs w:val="22"/>
        </w:rPr>
        <w:t>.</w:t>
      </w:r>
    </w:p>
    <w:p w14:paraId="0000007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7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5 - 0.04% Coverage</w:t>
      </w:r>
    </w:p>
    <w:p w14:paraId="00000077"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7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Established multi-sectoral coordination mechanisms and national-county linkages</w:t>
      </w:r>
    </w:p>
    <w:p w14:paraId="00000079"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7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6 - 0.01% Coverage</w:t>
      </w:r>
    </w:p>
    <w:p w14:paraId="0000007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7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multi-agency coordination</w:t>
      </w:r>
    </w:p>
    <w:p w14:paraId="0000007D"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7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7 - 0.03% Coverage</w:t>
      </w:r>
    </w:p>
    <w:p w14:paraId="0000007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8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Integration with education, health, and social protection sectors.</w:t>
      </w:r>
    </w:p>
    <w:p w14:paraId="0000008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8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8 - 0.03% Coverage</w:t>
      </w:r>
    </w:p>
    <w:p w14:paraId="0000008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8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Ongoing collaboration between MoE, APHRC, and development partners.</w:t>
      </w:r>
    </w:p>
    <w:p w14:paraId="0000008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8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9 - 0.03% Coverage</w:t>
      </w:r>
    </w:p>
    <w:p w14:paraId="00000087"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8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Partnership with UNESCO and other development agencies.</w:t>
      </w:r>
    </w:p>
    <w:p w14:paraId="00000089"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8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lastRenderedPageBreak/>
        <w:t>Reference 10 - 0.06% Coverage</w:t>
      </w:r>
    </w:p>
    <w:p w14:paraId="0000008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8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coalition of women’s rights and education organizations.</w:t>
      </w:r>
    </w:p>
    <w:p w14:paraId="0000008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Government departments (MoE, Gender) already engaged.</w:t>
      </w:r>
    </w:p>
    <w:p w14:paraId="0000008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8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11 - 0.05% Coverage</w:t>
      </w:r>
    </w:p>
    <w:p w14:paraId="0000009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9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par</w:t>
      </w:r>
      <w:r>
        <w:rPr>
          <w:rFonts w:ascii="Calibri" w:eastAsia="Calibri" w:hAnsi="Calibri" w:cs="Calibri"/>
          <w:color w:val="000000"/>
          <w:sz w:val="22"/>
          <w:szCs w:val="22"/>
        </w:rPr>
        <w:t>tnerships between schools, government child protection offices, and NGOs.</w:t>
      </w:r>
    </w:p>
    <w:p w14:paraId="0000009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9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12 - 0.04% Coverage</w:t>
      </w:r>
    </w:p>
    <w:p w14:paraId="0000009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9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Calls for cross-sector collaboration (education, justice, community) and financial support to expand reach.</w:t>
      </w:r>
    </w:p>
    <w:p w14:paraId="0000009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9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13 - 0.04% Coverage</w:t>
      </w:r>
    </w:p>
    <w:p w14:paraId="0000009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9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Existing collaboration between education, health, and law enforcement sectors</w:t>
      </w:r>
    </w:p>
    <w:p w14:paraId="0000009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9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14 - 0.04% Coverage</w:t>
      </w:r>
    </w:p>
    <w:p w14:paraId="0000009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9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Partnership with local government (MoE, MoG) for scale-up.</w:t>
      </w:r>
    </w:p>
    <w:p w14:paraId="0000009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9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15 - 0.03% Coverage</w:t>
      </w:r>
    </w:p>
    <w:p w14:paraId="000000A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A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Encourages multi-sectoral partnerships and local </w:t>
      </w:r>
      <w:r>
        <w:rPr>
          <w:rFonts w:ascii="Calibri" w:eastAsia="Calibri" w:hAnsi="Calibri" w:cs="Calibri"/>
          <w:color w:val="000000"/>
          <w:sz w:val="22"/>
          <w:szCs w:val="22"/>
        </w:rPr>
        <w:t>adaptation.</w:t>
      </w:r>
    </w:p>
    <w:p w14:paraId="000000A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A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16 - 0.04% Coverage</w:t>
      </w:r>
    </w:p>
    <w:p w14:paraId="000000A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A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collaboration with MoE, KICD, KEMI, TSC, NACONEK, and county governments.</w:t>
      </w:r>
    </w:p>
    <w:p w14:paraId="000000A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A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17 - 0.04% Coverage</w:t>
      </w:r>
    </w:p>
    <w:p w14:paraId="000000A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A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Expansion of county-level FAWE branches enhances localization and reach.</w:t>
      </w:r>
    </w:p>
    <w:p w14:paraId="000000A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A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18 - 0.04% Coverage</w:t>
      </w:r>
    </w:p>
    <w:p w14:paraId="000000A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A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Collaboration with Ministry of Education and UNICEF on gender policy reform</w:t>
      </w:r>
    </w:p>
    <w:p w14:paraId="000000A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A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19 - 0.03% Coverage</w:t>
      </w:r>
    </w:p>
    <w:p w14:paraId="000000B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B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Active participation of CSOs, private sector, and donors.</w:t>
      </w:r>
    </w:p>
    <w:p w14:paraId="000000B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B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20 - 0.04% Coverage</w:t>
      </w:r>
    </w:p>
    <w:p w14:paraId="000000B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B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Potential for multi-sec</w:t>
      </w:r>
      <w:r>
        <w:rPr>
          <w:rFonts w:ascii="Calibri" w:eastAsia="Calibri" w:hAnsi="Calibri" w:cs="Calibri"/>
          <w:color w:val="000000"/>
          <w:sz w:val="22"/>
          <w:szCs w:val="22"/>
        </w:rPr>
        <w:t>toral collaboration between Ministries of Education and Health.</w:t>
      </w:r>
    </w:p>
    <w:p w14:paraId="000000B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B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8"/>
          <w:szCs w:val="28"/>
          <w:highlight w:val="yellow"/>
        </w:rPr>
      </w:pPr>
      <w:r>
        <w:rPr>
          <w:rFonts w:ascii="Calibri" w:eastAsia="Calibri" w:hAnsi="Calibri" w:cs="Calibri"/>
          <w:color w:val="000000"/>
          <w:sz w:val="28"/>
          <w:szCs w:val="28"/>
          <w:highlight w:val="yellow"/>
        </w:rPr>
        <w:t>Theme 4: Existing Institutional Structures</w:t>
      </w:r>
    </w:p>
    <w:p w14:paraId="000000B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B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&lt;Files\\SRGBV Policy Review BEFORE CODING (2)&gt; - § 11 references coded  [0.51% Coverage]</w:t>
      </w:r>
    </w:p>
    <w:p w14:paraId="000000B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B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1 - 0.02% Coverage</w:t>
      </w:r>
    </w:p>
    <w:p w14:paraId="000000B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B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Established institutional structures &amp; oversight bodies: The policy names National Gender &amp; Equality Commission (NGEC’s) mandate in coordination of GBV working groups, institutional monitoring, audits.   </w:t>
      </w:r>
    </w:p>
    <w:p w14:paraId="000000B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B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2 - 0.05% Coverage</w:t>
      </w:r>
    </w:p>
    <w:p w14:paraId="000000C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C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3. Existence of national initiatives and infrastructure, such as GBV response centres in health facilities, GBV helplines (1195, 116, 1192), gender desks at police stations, and special prosecutors for GBV cases</w:t>
      </w:r>
    </w:p>
    <w:p w14:paraId="000000C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C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3 - 0.10% Coverage</w:t>
      </w:r>
    </w:p>
    <w:p w14:paraId="000000C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C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Code cont</w:t>
      </w:r>
      <w:r>
        <w:rPr>
          <w:rFonts w:ascii="Calibri" w:eastAsia="Calibri" w:hAnsi="Calibri" w:cs="Calibri"/>
          <w:color w:val="000000"/>
          <w:sz w:val="22"/>
          <w:szCs w:val="22"/>
        </w:rPr>
        <w:t xml:space="preserve">ains many provisions that could implicitly serve as opportunities for uptake (e.g. requirement for registration; performance and professional development; supervision by institution heads; clear processes for promotion, deployment, etc.). </w:t>
      </w:r>
    </w:p>
    <w:p w14:paraId="000000C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C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4 - 0</w:t>
      </w:r>
      <w:r>
        <w:rPr>
          <w:rFonts w:ascii="Calibri" w:eastAsia="Calibri" w:hAnsi="Calibri" w:cs="Calibri"/>
          <w:color w:val="000000"/>
          <w:sz w:val="22"/>
          <w:szCs w:val="22"/>
          <w:shd w:val="clear" w:color="auto" w:fill="D3D3D3"/>
        </w:rPr>
        <w:t>.04% Coverage</w:t>
      </w:r>
    </w:p>
    <w:p w14:paraId="000000C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C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Increasing recognition of SRGBV as a barrier to SDG 4 (Quality Education) and SDG 5 (Gender Equality).</w:t>
      </w:r>
    </w:p>
    <w:p w14:paraId="000000C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C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5 - 0.03% Coverage</w:t>
      </w:r>
    </w:p>
    <w:p w14:paraId="000000C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C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Institutional presence of gender committees in teacher training colleges.</w:t>
      </w:r>
    </w:p>
    <w:p w14:paraId="000000C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C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6 - 0.04% Coverage</w:t>
      </w:r>
    </w:p>
    <w:p w14:paraId="000000D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D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Teacher Service Commission can integrate SRGBV training into teacher induction and in-service training.</w:t>
      </w:r>
    </w:p>
    <w:p w14:paraId="000000D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D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7 - 0.05% Coverage</w:t>
      </w:r>
    </w:p>
    <w:p w14:paraId="000000D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D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Established institutional structures for gender mainstreaming (gender units/officers).</w:t>
      </w:r>
    </w:p>
    <w:p w14:paraId="000000D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D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8 - 0.04% Coverage</w:t>
      </w:r>
    </w:p>
    <w:p w14:paraId="000000D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D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Active county-level adolescent technical working groups.</w:t>
      </w:r>
    </w:p>
    <w:p w14:paraId="000000D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D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9 - 0.04% Coverage</w:t>
      </w:r>
    </w:p>
    <w:p w14:paraId="000000D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D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Integration of GBV services into national systems (UHC, Judiciary, Police).</w:t>
      </w:r>
    </w:p>
    <w:p w14:paraId="000000D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D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10 - 0.04% Coverage</w:t>
      </w:r>
    </w:p>
    <w:p w14:paraId="000000E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E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Exisitence of a national </w:t>
      </w:r>
      <w:r>
        <w:rPr>
          <w:rFonts w:ascii="Calibri" w:eastAsia="Calibri" w:hAnsi="Calibri" w:cs="Calibri"/>
          <w:color w:val="000000"/>
          <w:sz w:val="22"/>
          <w:szCs w:val="22"/>
        </w:rPr>
        <w:t>curriculum with moral and life skills education already integrated.</w:t>
      </w:r>
    </w:p>
    <w:p w14:paraId="000000E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E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lastRenderedPageBreak/>
        <w:t>Reference 11 - 0.07% Coverage</w:t>
      </w:r>
    </w:p>
    <w:p w14:paraId="000000E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E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scope for MOE + Kenya Institute of Education + Ministry of Gender collaboration to revise curricula (gender-sensitive lessons and SRE);</w:t>
      </w:r>
    </w:p>
    <w:p w14:paraId="000000E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rPr>
      </w:pPr>
    </w:p>
    <w:p w14:paraId="000000E7"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E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8"/>
          <w:szCs w:val="28"/>
          <w:highlight w:val="yellow"/>
        </w:rPr>
      </w:pPr>
      <w:r>
        <w:rPr>
          <w:rFonts w:ascii="Calibri" w:eastAsia="Calibri" w:hAnsi="Calibri" w:cs="Calibri"/>
          <w:color w:val="000000"/>
          <w:sz w:val="28"/>
          <w:szCs w:val="28"/>
          <w:highlight w:val="yellow"/>
        </w:rPr>
        <w:t>Theme 5: Existence of resource allocation or donor backing</w:t>
      </w:r>
    </w:p>
    <w:p w14:paraId="000000E9"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E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&lt;Files\\SRGBV Policy Review BEFORE CODING (2)&gt; - § 6 references coded  [0.19% Coverage]</w:t>
      </w:r>
    </w:p>
    <w:p w14:paraId="000000E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E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1 - 0.02% Coverage</w:t>
      </w:r>
    </w:p>
    <w:p w14:paraId="000000ED"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E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International and donor commitment: Policy analyses highlight Kenya’s interna</w:t>
      </w:r>
      <w:r>
        <w:rPr>
          <w:rFonts w:ascii="Calibri" w:eastAsia="Calibri" w:hAnsi="Calibri" w:cs="Calibri"/>
          <w:color w:val="000000"/>
          <w:sz w:val="22"/>
          <w:szCs w:val="22"/>
        </w:rPr>
        <w:t xml:space="preserve">tional obligations (CEDAW, etc.) and reference donor/UN engagement in GBV programming. This external support can provide technical and financial backing. </w:t>
      </w:r>
    </w:p>
    <w:p w14:paraId="000000E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F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2 - 0.03% Coverage</w:t>
      </w:r>
    </w:p>
    <w:p w14:paraId="000000F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F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Political and donor momentum for gender equality financing.</w:t>
      </w:r>
    </w:p>
    <w:p w14:paraId="000000F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F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3 - 0.04% Coverage</w:t>
      </w:r>
    </w:p>
    <w:p w14:paraId="000000F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F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Active civil society, NGO, and donor engagement (e.g., ActionAid, UNICEF, Plan International, USAID).</w:t>
      </w:r>
    </w:p>
    <w:p w14:paraId="000000F7"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F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4 - 0.02% Coverage</w:t>
      </w:r>
    </w:p>
    <w:p w14:paraId="000000F9"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F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Donor and partner support (PEPFAR, CDC, UNICEF).</w:t>
      </w:r>
    </w:p>
    <w:p w14:paraId="000000F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0F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5 - 0.04% Coverage</w:t>
      </w:r>
    </w:p>
    <w:p w14:paraId="000000FD"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0F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NGO and donor support (UNICEF, PEPFAR, DREAMS).</w:t>
      </w:r>
    </w:p>
    <w:p w14:paraId="000000F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0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6 - 0.04% Coverage</w:t>
      </w:r>
    </w:p>
    <w:p w14:paraId="0000010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0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Presence of legal framework (Sexual Offences Act 2006) to be enforced</w:t>
      </w:r>
    </w:p>
    <w:p w14:paraId="0000010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0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8"/>
          <w:szCs w:val="28"/>
          <w:highlight w:val="yellow"/>
        </w:rPr>
      </w:pPr>
      <w:r>
        <w:rPr>
          <w:rFonts w:ascii="Calibri" w:eastAsia="Calibri" w:hAnsi="Calibri" w:cs="Calibri"/>
          <w:color w:val="000000"/>
          <w:sz w:val="28"/>
          <w:szCs w:val="28"/>
          <w:highlight w:val="yellow"/>
        </w:rPr>
        <w:t>Theme 6: Existence of Legal, Policy, and Institutional Frameworks</w:t>
      </w:r>
    </w:p>
    <w:p w14:paraId="0000010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0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&lt;Files\\SRGBV Policy Review BEFORE CODING (2)&gt; - § 38 references coded [2.05% Coverage]</w:t>
      </w:r>
    </w:p>
    <w:p w14:paraId="00000107"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0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1 - 0.03% Coverage</w:t>
      </w:r>
    </w:p>
    <w:p w14:paraId="00000109"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0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Strong constitutional &amp; legal foundations: The policy itself situates GBV prevention/response within the constitutional Bill of Rights; a</w:t>
      </w:r>
      <w:r>
        <w:rPr>
          <w:rFonts w:ascii="Calibri" w:eastAsia="Calibri" w:hAnsi="Calibri" w:cs="Calibri"/>
          <w:color w:val="000000"/>
          <w:sz w:val="22"/>
          <w:szCs w:val="22"/>
        </w:rPr>
        <w:t xml:space="preserve">nalyses cite the multiplicity of laws already in place (2010 Constitution, and existing laws; Sexual Offences Act, FGM Act, provide a legal mandate and normative basis for GBV interventions). </w:t>
      </w:r>
    </w:p>
    <w:p w14:paraId="0000010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0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lastRenderedPageBreak/>
        <w:t>Reference 2 - 0.01% Coverage</w:t>
      </w:r>
    </w:p>
    <w:p w14:paraId="0000010D"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0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Policy alignment with broader de</w:t>
      </w:r>
      <w:r>
        <w:rPr>
          <w:rFonts w:ascii="Calibri" w:eastAsia="Calibri" w:hAnsi="Calibri" w:cs="Calibri"/>
          <w:color w:val="000000"/>
          <w:sz w:val="22"/>
          <w:szCs w:val="22"/>
        </w:rPr>
        <w:t xml:space="preserve">velopment agendas: The policy links with Vision 2030, constitutional values, and development sectors; this alignment helps legitimize and embed GBV work. </w:t>
      </w:r>
    </w:p>
    <w:p w14:paraId="0000010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1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3 - 0.02% Coverage</w:t>
      </w:r>
    </w:p>
    <w:p w14:paraId="0000011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1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Focus on comprehensive services (prevention + response): The policy spans from prevention, through response (health, psychosocial support, legal aid), which makes it robust and appealing to stakeholders.                  </w:t>
      </w:r>
    </w:p>
    <w:p w14:paraId="0000011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1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4 - 0.08% Coverage</w:t>
      </w:r>
    </w:p>
    <w:p w14:paraId="0000011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1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w:t>
      </w:r>
      <w:r>
        <w:rPr>
          <w:rFonts w:ascii="Calibri" w:eastAsia="Calibri" w:hAnsi="Calibri" w:cs="Calibri"/>
          <w:color w:val="000000"/>
          <w:sz w:val="22"/>
          <w:szCs w:val="22"/>
        </w:rPr>
        <w:t>e education sector already has frameworks such as the School Safety Standards Manual, Child Friendly Schools Manual, and the Teacher’s Code of Conduct that can be leveraged in implementing the NPRP.”</w:t>
      </w:r>
    </w:p>
    <w:p w14:paraId="00000117"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1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5 - 0.09% Coverage</w:t>
      </w:r>
    </w:p>
    <w:p w14:paraId="00000119"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1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1. Robust legal and polic</w:t>
      </w:r>
      <w:r>
        <w:rPr>
          <w:rFonts w:ascii="Calibri" w:eastAsia="Calibri" w:hAnsi="Calibri" w:cs="Calibri"/>
          <w:color w:val="000000"/>
          <w:sz w:val="22"/>
          <w:szCs w:val="22"/>
        </w:rPr>
        <w:t>y framework in place, including the Constitution of Kenya, Sexual Offences Act, Prohibition of FGM Act, Children’s Act, Counter Trafficking in Persons Act, among others</w:t>
      </w:r>
    </w:p>
    <w:p w14:paraId="0000011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1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2. Kenya’s ratification of international and regional treaties (CEDAW, CRC, Maputo Pro</w:t>
      </w:r>
      <w:r>
        <w:rPr>
          <w:rFonts w:ascii="Calibri" w:eastAsia="Calibri" w:hAnsi="Calibri" w:cs="Calibri"/>
          <w:color w:val="000000"/>
          <w:sz w:val="22"/>
          <w:szCs w:val="22"/>
        </w:rPr>
        <w:t>tocol, Beijing Platform for Action, UN Resolution 1325, etc.) which strengthen accountability</w:t>
      </w:r>
    </w:p>
    <w:p w14:paraId="0000011D"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1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6 - 0.05% Coverage</w:t>
      </w:r>
    </w:p>
    <w:p w14:paraId="0000011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2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Existence of a comprehensive manual providing clear safety standards across multiple domains (health, infrastructure, psychosocial,</w:t>
      </w:r>
      <w:r>
        <w:rPr>
          <w:rFonts w:ascii="Calibri" w:eastAsia="Calibri" w:hAnsi="Calibri" w:cs="Calibri"/>
          <w:color w:val="000000"/>
          <w:sz w:val="22"/>
          <w:szCs w:val="22"/>
        </w:rPr>
        <w:t xml:space="preserve"> disaster preparedness) .</w:t>
      </w:r>
    </w:p>
    <w:p w14:paraId="0000012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2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7 - 0.09% Coverage</w:t>
      </w:r>
    </w:p>
    <w:p w14:paraId="0000012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2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Kenya Law</w:t>
      </w:r>
    </w:p>
    <w:p w14:paraId="0000012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2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It also gives room for legal enforcement and responsibility: e.g. sections on discipline, performance standards, registration requirements. These mechanisms could help uptake by making compliance mandatory.</w:t>
      </w:r>
    </w:p>
    <w:p w14:paraId="00000127"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2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8 - 0.07% Coverage</w:t>
      </w:r>
    </w:p>
    <w:p w14:paraId="00000129"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2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Provides a legal</w:t>
      </w:r>
      <w:r>
        <w:rPr>
          <w:rFonts w:ascii="Calibri" w:eastAsia="Calibri" w:hAnsi="Calibri" w:cs="Calibri"/>
          <w:color w:val="000000"/>
          <w:sz w:val="22"/>
          <w:szCs w:val="22"/>
        </w:rPr>
        <w:t xml:space="preserve"> foundation for addressing sexual offences in schools and communities.</w:t>
      </w:r>
    </w:p>
    <w:p w14:paraId="0000012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2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9 - 0.06% Coverage</w:t>
      </w:r>
    </w:p>
    <w:p w14:paraId="0000012D"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2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Establishes structures for policy review and improvement every five years.</w:t>
      </w:r>
    </w:p>
    <w:p w14:paraId="0000012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3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10 - 0.06% Coverage</w:t>
      </w:r>
    </w:p>
    <w:p w14:paraId="0000013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3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lastRenderedPageBreak/>
        <w:t>• Existing supportive policy and legal framew</w:t>
      </w:r>
      <w:r>
        <w:rPr>
          <w:rFonts w:ascii="Calibri" w:eastAsia="Calibri" w:hAnsi="Calibri" w:cs="Calibri"/>
          <w:color w:val="000000"/>
          <w:sz w:val="22"/>
          <w:szCs w:val="22"/>
        </w:rPr>
        <w:t>orks (e.g., FGM Act 2011, Protection Against Domestic Violence Act 2014).</w:t>
      </w:r>
    </w:p>
    <w:p w14:paraId="0000013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3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11 - 0.03% Coverage</w:t>
      </w:r>
    </w:p>
    <w:p w14:paraId="0000013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3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Existence of strong international legal frameworks (CRC, CEDAW, Beijing Platform).</w:t>
      </w:r>
    </w:p>
    <w:p w14:paraId="00000137"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3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12 - 0.05% Coverage</w:t>
      </w:r>
    </w:p>
    <w:p w14:paraId="00000139"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3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Existing legal and policy frame</w:t>
      </w:r>
      <w:r>
        <w:rPr>
          <w:rFonts w:ascii="Calibri" w:eastAsia="Calibri" w:hAnsi="Calibri" w:cs="Calibri"/>
          <w:color w:val="000000"/>
          <w:sz w:val="22"/>
          <w:szCs w:val="22"/>
        </w:rPr>
        <w:t>works (Children Act, Sexual Offences Act, National GBV Policy).</w:t>
      </w:r>
    </w:p>
    <w:p w14:paraId="0000013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3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13 - 0.04% Coverage</w:t>
      </w:r>
    </w:p>
    <w:p w14:paraId="0000013D"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3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Alignment with SDGs, INSPIRE, and the Generation Equality Forum roadmap.</w:t>
      </w:r>
    </w:p>
    <w:p w14:paraId="0000013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4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14 - 0.04% Coverage</w:t>
      </w:r>
    </w:p>
    <w:p w14:paraId="0000014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4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Existence of strong legislative frameworks (Constitution, Children’s Act, TSC Code of Conduct).</w:t>
      </w:r>
    </w:p>
    <w:p w14:paraId="0000014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4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15 - 0.04% Coverage</w:t>
      </w:r>
    </w:p>
    <w:p w14:paraId="0000014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4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Integration of gender and GBV issues in the National Education Sector Strategic Plan 2023–2027.</w:t>
      </w:r>
    </w:p>
    <w:p w14:paraId="00000147"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4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16 - 0.04% Coverage</w:t>
      </w:r>
    </w:p>
    <w:p w14:paraId="00000149"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4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Availability of prior policy tools like the UNESCO &amp; UN Women (2016) Global Guidance on SRGBV.</w:t>
      </w:r>
    </w:p>
    <w:p w14:paraId="0000014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4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17 - 0.05% Coverage</w:t>
      </w:r>
    </w:p>
    <w:p w14:paraId="0000014D"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4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legal and policy alignment with the Constitution (2010) and national education framewor</w:t>
      </w:r>
      <w:r>
        <w:rPr>
          <w:rFonts w:ascii="Calibri" w:eastAsia="Calibri" w:hAnsi="Calibri" w:cs="Calibri"/>
          <w:color w:val="000000"/>
          <w:sz w:val="22"/>
          <w:szCs w:val="22"/>
        </w:rPr>
        <w:t>ks.</w:t>
      </w:r>
    </w:p>
    <w:p w14:paraId="0000014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5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18 - 0.05% Coverage</w:t>
      </w:r>
    </w:p>
    <w:p w14:paraId="0000015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5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Alignment with national child protection frameworks and laws.</w:t>
      </w:r>
    </w:p>
    <w:p w14:paraId="0000015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5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19 - 0.05% Coverage</w:t>
      </w:r>
    </w:p>
    <w:p w14:paraId="0000015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5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Existing draft bill (Nairobi County GBV Control and Management Bill) ready for enactment.</w:t>
      </w:r>
    </w:p>
    <w:p w14:paraId="00000157"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5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20 - 0.05% Coverage</w:t>
      </w:r>
    </w:p>
    <w:p w14:paraId="00000159"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5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Alignment with SDG 4 and Kenya’s Education Sector Policy on Gender and GBV prevention goals.</w:t>
      </w:r>
    </w:p>
    <w:p w14:paraId="0000015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5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21 - 0.05% Coverage</w:t>
      </w:r>
    </w:p>
    <w:p w14:paraId="0000015D"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5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Existence of legal frameworks and international commitments (SDG 4, Safe to Learn campaign).</w:t>
      </w:r>
    </w:p>
    <w:p w14:paraId="0000015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6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22 - 0.04% Coverage</w:t>
      </w:r>
    </w:p>
    <w:p w14:paraId="0000016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6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w:t>
      </w:r>
      <w:r>
        <w:rPr>
          <w:rFonts w:ascii="Calibri" w:eastAsia="Calibri" w:hAnsi="Calibri" w:cs="Calibri"/>
          <w:color w:val="000000"/>
          <w:sz w:val="22"/>
          <w:szCs w:val="22"/>
        </w:rPr>
        <w:t>Aligns with Kenya’s National Child Protection Framework and Education Sector Gender Policy.</w:t>
      </w:r>
    </w:p>
    <w:p w14:paraId="0000016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6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23 - 0.10% Coverage</w:t>
      </w:r>
    </w:p>
    <w:p w14:paraId="0000016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6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National and global policy momentum on ending SRGBV and promoting gender equality (SDG 4, SDG 5).</w:t>
      </w:r>
    </w:p>
    <w:p w14:paraId="0000016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Integration potential within Kenya’s Gender in Education Policy and MoE GBV frameworks.</w:t>
      </w:r>
    </w:p>
    <w:p w14:paraId="0000016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6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24 - 0.06% Coverage</w:t>
      </w:r>
    </w:p>
    <w:p w14:paraId="0000016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6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alignment with Kenya’s Gender Policy in Education (2015) and SDG 4 &amp; 5 targets.</w:t>
      </w:r>
    </w:p>
    <w:p w14:paraId="0000016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6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25 - 0.02% Coverage</w:t>
      </w:r>
    </w:p>
    <w:p w14:paraId="0000016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6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Alignment w</w:t>
      </w:r>
      <w:r>
        <w:rPr>
          <w:rFonts w:ascii="Calibri" w:eastAsia="Calibri" w:hAnsi="Calibri" w:cs="Calibri"/>
          <w:color w:val="000000"/>
          <w:sz w:val="22"/>
          <w:szCs w:val="22"/>
        </w:rPr>
        <w:t>ith SDG 4, 5, and 16 goals.</w:t>
      </w:r>
    </w:p>
    <w:p w14:paraId="0000017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7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26 - 0.05% Coverage</w:t>
      </w:r>
    </w:p>
    <w:p w14:paraId="0000017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7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Potential integration into national child protection and education sector plans.</w:t>
      </w:r>
    </w:p>
    <w:p w14:paraId="0000017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7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27 - 0.19% Coverage</w:t>
      </w:r>
    </w:p>
    <w:p w14:paraId="0000017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7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guidance provides a strong global framework adaptable for national use. It em</w:t>
      </w:r>
      <w:r>
        <w:rPr>
          <w:rFonts w:ascii="Calibri" w:eastAsia="Calibri" w:hAnsi="Calibri" w:cs="Calibri"/>
          <w:color w:val="000000"/>
          <w:sz w:val="22"/>
          <w:szCs w:val="22"/>
        </w:rPr>
        <w:t>phasizes multisectoral collaboration, whole-school approaches, and rights-based education reform. Particularly relevant for ministries developing gender-responsive education policies or national action plans on SRGBV.</w:t>
      </w:r>
    </w:p>
    <w:p w14:paraId="0000017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7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28 - 0.04% Coverage</w:t>
      </w:r>
    </w:p>
    <w:p w14:paraId="0000017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7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Aligns with SDG 4 (Quality Education) and SDG 5 (Gender Equality).</w:t>
      </w:r>
    </w:p>
    <w:p w14:paraId="0000017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7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29 - 0.05% Coverage</w:t>
      </w:r>
    </w:p>
    <w:p w14:paraId="0000017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7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Builds directly on existing policies like codes of conduct and teacher training standards.</w:t>
      </w:r>
    </w:p>
    <w:p w14:paraId="0000018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8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30 - 0.03% Coverage</w:t>
      </w:r>
    </w:p>
    <w:p w14:paraId="0000018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8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Integration of programs into</w:t>
      </w:r>
      <w:r>
        <w:rPr>
          <w:rFonts w:ascii="Calibri" w:eastAsia="Calibri" w:hAnsi="Calibri" w:cs="Calibri"/>
          <w:color w:val="000000"/>
          <w:sz w:val="22"/>
          <w:szCs w:val="22"/>
        </w:rPr>
        <w:t xml:space="preserve"> national education policies.</w:t>
      </w:r>
    </w:p>
    <w:p w14:paraId="0000018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8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31 - 0.04% Coverage</w:t>
      </w:r>
    </w:p>
    <w:p w14:paraId="0000018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8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Presence of existing policies and supportive legal frameworks.</w:t>
      </w:r>
    </w:p>
    <w:p w14:paraId="0000018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8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32 - 0.03% Coverage</w:t>
      </w:r>
    </w:p>
    <w:p w14:paraId="0000018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8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School re-entry policy for young mothers.</w:t>
      </w:r>
    </w:p>
    <w:p w14:paraId="0000018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8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lastRenderedPageBreak/>
        <w:t>Reference 33 - 0.03% Coverage</w:t>
      </w:r>
    </w:p>
    <w:p w14:paraId="0000018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8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Legal and policy frameworks in place at national and county levels.</w:t>
      </w:r>
    </w:p>
    <w:p w14:paraId="0000019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9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34 - 0.05% Coverage</w:t>
      </w:r>
    </w:p>
    <w:p w14:paraId="0000019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9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Existence of supportive national legislation (Children’s Act 2001, Sexual Offences Act 2006). </w:t>
      </w:r>
    </w:p>
    <w:p w14:paraId="0000019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9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35 - 0.02% Coverage</w:t>
      </w:r>
    </w:p>
    <w:p w14:paraId="0000019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9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Existence of national leg</w:t>
      </w:r>
      <w:r>
        <w:rPr>
          <w:rFonts w:ascii="Calibri" w:eastAsia="Calibri" w:hAnsi="Calibri" w:cs="Calibri"/>
          <w:color w:val="000000"/>
          <w:sz w:val="22"/>
          <w:szCs w:val="22"/>
        </w:rPr>
        <w:t>al frameworks</w:t>
      </w:r>
    </w:p>
    <w:p w14:paraId="0000019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9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36 - 0.05% Coverage</w:t>
      </w:r>
    </w:p>
    <w:p w14:paraId="0000019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9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Existence of national laws and MOE policies addressing sexual misconduct.</w:t>
      </w:r>
    </w:p>
    <w:p w14:paraId="0000019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9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37 - 0.03% Coverage</w:t>
      </w:r>
    </w:p>
    <w:p w14:paraId="0000019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9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Existence of national and international policies related to SRGBV </w:t>
      </w:r>
    </w:p>
    <w:p w14:paraId="000001A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A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38 - 0.19% Coverage</w:t>
      </w:r>
    </w:p>
    <w:p w14:paraId="000001A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A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w:t>
      </w:r>
      <w:r>
        <w:rPr>
          <w:rFonts w:ascii="Calibri" w:eastAsia="Calibri" w:hAnsi="Calibri" w:cs="Calibri"/>
          <w:color w:val="000000"/>
          <w:sz w:val="22"/>
          <w:szCs w:val="22"/>
        </w:rPr>
        <w:t xml:space="preserve"> Existence of laws and policies that are well formulated for implementation.</w:t>
      </w:r>
    </w:p>
    <w:p w14:paraId="000001A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rPr>
      </w:pPr>
    </w:p>
    <w:p w14:paraId="000001A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8"/>
          <w:szCs w:val="28"/>
          <w:highlight w:val="yellow"/>
        </w:rPr>
      </w:pPr>
      <w:r>
        <w:rPr>
          <w:rFonts w:ascii="Calibri" w:eastAsia="Calibri" w:hAnsi="Calibri" w:cs="Calibri"/>
          <w:color w:val="000000"/>
          <w:sz w:val="28"/>
          <w:szCs w:val="28"/>
          <w:highlight w:val="yellow"/>
        </w:rPr>
        <w:t>Theme 7: Data, Evidence, and Monitoring Systems</w:t>
      </w:r>
    </w:p>
    <w:p w14:paraId="000001A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A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&lt;Files\\SRGBV Policy Review BEFORE CODING (2)&gt; - § 27 references coded  [1.80% Coverage]</w:t>
      </w:r>
    </w:p>
    <w:p w14:paraId="000001A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A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1 - 0.01% Coverage</w:t>
      </w:r>
    </w:p>
    <w:p w14:paraId="000001A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A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Monitoring &amp; evaluation / data systems: The policy includes a monitoring &amp; evaluation (M&amp;E) framework and envisages a GBV information system to track progress.</w:t>
      </w:r>
    </w:p>
    <w:p w14:paraId="000001A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A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2 - 0.02% Coverage</w:t>
      </w:r>
    </w:p>
    <w:p w14:paraId="000001A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A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Ongoing gender data systems (e.g., KDHS, GBV MIS).</w:t>
      </w:r>
    </w:p>
    <w:p w14:paraId="000001B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B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w:t>
      </w:r>
      <w:r>
        <w:rPr>
          <w:rFonts w:ascii="Calibri" w:eastAsia="Calibri" w:hAnsi="Calibri" w:cs="Calibri"/>
          <w:color w:val="000000"/>
          <w:sz w:val="22"/>
          <w:szCs w:val="22"/>
          <w:shd w:val="clear" w:color="auto" w:fill="D3D3D3"/>
        </w:rPr>
        <w:t xml:space="preserve"> - 0.04% Coverage</w:t>
      </w:r>
    </w:p>
    <w:p w14:paraId="000001B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B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Documented success of gender-transformative, multi-actor, and school-community models.</w:t>
      </w:r>
    </w:p>
    <w:p w14:paraId="000001B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B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4 - 0.03% Coverage</w:t>
      </w:r>
    </w:p>
    <w:p w14:paraId="000001B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B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Growing data-driven commitment for child protection.</w:t>
      </w:r>
    </w:p>
    <w:p w14:paraId="000001B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B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5 - 0.07% Coverage</w:t>
      </w:r>
    </w:p>
    <w:p w14:paraId="000001B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B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 It provides an evidence base that stakeholders (ministries of education, child protection, NGOs) can use to advocate for SRGBV programming and policy.</w:t>
      </w:r>
    </w:p>
    <w:p w14:paraId="000001B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B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6 - 0.13% Coverage</w:t>
      </w:r>
    </w:p>
    <w:p w14:paraId="000001B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B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Data disaggregation (by sex, type, perpetrator) helps target interventi</w:t>
      </w:r>
      <w:r>
        <w:rPr>
          <w:rFonts w:ascii="Calibri" w:eastAsia="Calibri" w:hAnsi="Calibri" w:cs="Calibri"/>
          <w:color w:val="000000"/>
          <w:sz w:val="22"/>
          <w:szCs w:val="22"/>
        </w:rPr>
        <w:t>ons.</w:t>
      </w:r>
    </w:p>
    <w:p w14:paraId="000001C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Infographics are usable in advocacy, training, and awareness campaigns.</w:t>
      </w:r>
    </w:p>
    <w:p w14:paraId="000001C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The factsheet can support alignment with national strategies like the National Prevention and Response Plan for Violence Against Children</w:t>
      </w:r>
    </w:p>
    <w:p w14:paraId="000001C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C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7 - 0.04% Coverage</w:t>
      </w:r>
    </w:p>
    <w:p w14:paraId="000001C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C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Poli</w:t>
      </w:r>
      <w:r>
        <w:rPr>
          <w:rFonts w:ascii="Calibri" w:eastAsia="Calibri" w:hAnsi="Calibri" w:cs="Calibri"/>
          <w:color w:val="000000"/>
          <w:sz w:val="22"/>
          <w:szCs w:val="22"/>
        </w:rPr>
        <w:t>cymakers and Ministry of Education can use the data to shape SRGBV guidelines for primary schools.</w:t>
      </w:r>
    </w:p>
    <w:p w14:paraId="000001C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C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8 - 0.03% Coverage</w:t>
      </w:r>
    </w:p>
    <w:p w14:paraId="000001C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C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Use of this data by NGOs / donors to support SRGBV prevention in primary education</w:t>
      </w:r>
    </w:p>
    <w:p w14:paraId="000001C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C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9 - 0.19% Coverage</w:t>
      </w:r>
    </w:p>
    <w:p w14:paraId="000001C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C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Countrie</w:t>
      </w:r>
      <w:r>
        <w:rPr>
          <w:rFonts w:ascii="Calibri" w:eastAsia="Calibri" w:hAnsi="Calibri" w:cs="Calibri"/>
          <w:color w:val="000000"/>
          <w:sz w:val="22"/>
          <w:szCs w:val="22"/>
        </w:rPr>
        <w:t>s that have VACS data (or similar survey data) can replicate the “data to action” model: using evidence to inform national plans and policies.</w:t>
      </w:r>
    </w:p>
    <w:p w14:paraId="000001C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Donors and partners can support secondary analyses and dissemination to ensure findings reach decision makers.</w:t>
      </w:r>
    </w:p>
    <w:p w14:paraId="000001C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Stakeholder reports are useful advocacy and awareness tools.</w:t>
      </w:r>
    </w:p>
    <w:p w14:paraId="000001D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The findings in Kenya show that violence, especially sexual violence childhood prevalence, dropped significantly, which can be used to motivate further investment. (E.g., female childhood sex</w:t>
      </w:r>
      <w:r>
        <w:rPr>
          <w:rFonts w:ascii="Calibri" w:eastAsia="Calibri" w:hAnsi="Calibri" w:cs="Calibri"/>
          <w:color w:val="000000"/>
          <w:sz w:val="22"/>
          <w:szCs w:val="22"/>
        </w:rPr>
        <w:t xml:space="preserve">ual violence dropped from ~32% to ~16%; males from ~18% to ~6%) </w:t>
      </w:r>
    </w:p>
    <w:p w14:paraId="000001D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Country governments can use this evidence to strengthen legal and policy frameworks, enforcement, and preventive programs.</w:t>
      </w:r>
    </w:p>
    <w:p w14:paraId="000001D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D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10 - 0.03% Coverage</w:t>
      </w:r>
    </w:p>
    <w:p w14:paraId="000001D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D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Commitment to periodic review an</w:t>
      </w:r>
      <w:r>
        <w:rPr>
          <w:rFonts w:ascii="Calibri" w:eastAsia="Calibri" w:hAnsi="Calibri" w:cs="Calibri"/>
          <w:color w:val="000000"/>
          <w:sz w:val="22"/>
          <w:szCs w:val="22"/>
        </w:rPr>
        <w:t>d M&amp;E systems.</w:t>
      </w:r>
    </w:p>
    <w:p w14:paraId="000001D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D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11 - 0.05% Coverage</w:t>
      </w:r>
    </w:p>
    <w:p w14:paraId="000001D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D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Data-driven decision-making and use of digital monitoring systems</w:t>
      </w:r>
    </w:p>
    <w:p w14:paraId="000001D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D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12 - 0.04% Coverage</w:t>
      </w:r>
    </w:p>
    <w:p w14:paraId="000001D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D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Proven scalable models (cash-plus, ECD, FundiFix).</w:t>
      </w:r>
    </w:p>
    <w:p w14:paraId="000001D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D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13 - 0.03% Coverage</w:t>
      </w:r>
    </w:p>
    <w:p w14:paraId="000001E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E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Integration of social sectors creating synergies.</w:t>
      </w:r>
    </w:p>
    <w:p w14:paraId="000001E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E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lastRenderedPageBreak/>
        <w:t>Reference 14 - 0.03% Coverage</w:t>
      </w:r>
    </w:p>
    <w:p w14:paraId="000001E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E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Availability of data and evidence to inform policy reforms.</w:t>
      </w:r>
    </w:p>
    <w:p w14:paraId="000001E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E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15 - 0.04% Coverage</w:t>
      </w:r>
    </w:p>
    <w:p w14:paraId="000001E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E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Regional momentum and shared learning through GPE KIX Africa 19.</w:t>
      </w:r>
    </w:p>
    <w:p w14:paraId="000001E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E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16 - 0.05% Coverage</w:t>
      </w:r>
    </w:p>
    <w:p w14:paraId="000001E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E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Regional collaboration through GPE KIX, Safe to Learn, and UNGEI provides valuable learning models for Kenya’s education sector.</w:t>
      </w:r>
    </w:p>
    <w:p w14:paraId="000001E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E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17 - 0.05% Coverage</w:t>
      </w:r>
    </w:p>
    <w:p w14:paraId="000001F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F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evidence and tools ready for adaptation by ministries</w:t>
      </w:r>
      <w:r>
        <w:rPr>
          <w:rFonts w:ascii="Calibri" w:eastAsia="Calibri" w:hAnsi="Calibri" w:cs="Calibri"/>
          <w:color w:val="000000"/>
          <w:sz w:val="22"/>
          <w:szCs w:val="22"/>
        </w:rPr>
        <w:t xml:space="preserve"> and education sectors.</w:t>
      </w:r>
    </w:p>
    <w:p w14:paraId="000001F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F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18 - 0.04% Coverage</w:t>
      </w:r>
    </w:p>
    <w:p w14:paraId="000001F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F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Availability of online knowledge platforms (e.g., EndVAWNow, UNGEI).</w:t>
      </w:r>
    </w:p>
    <w:p w14:paraId="000001F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F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19 - 0.03% Coverage</w:t>
      </w:r>
    </w:p>
    <w:p w14:paraId="000001F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F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Provides measurable indicators and adaptable monitoring tools.</w:t>
      </w:r>
    </w:p>
    <w:p w14:paraId="000001F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F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20 - 0.04% Coverage</w:t>
      </w:r>
    </w:p>
    <w:p w14:paraId="000001F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1F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basis for integration into education sector plans and EMIS systems.</w:t>
      </w:r>
    </w:p>
    <w:p w14:paraId="000001F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1F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21 - 0.03% Coverage</w:t>
      </w:r>
    </w:p>
    <w:p w14:paraId="0000020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0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Data-driven advocacy promotes evidence-based decision-making.</w:t>
      </w:r>
    </w:p>
    <w:p w14:paraId="0000020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0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22 - 0.12% Coverage</w:t>
      </w:r>
    </w:p>
    <w:p w14:paraId="0000020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0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Provides flexible, results-based benchmarks adaptable to national contexts.</w:t>
      </w:r>
    </w:p>
    <w:p w14:paraId="0000020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Strengthens accountability, preparedness, and coordination frameworks.</w:t>
      </w:r>
    </w:p>
    <w:p w14:paraId="0000020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Promotes linkages between humanitarian action and long-term development.</w:t>
      </w:r>
    </w:p>
    <w:p w14:paraId="0000020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0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23 - 0.03% Coverage</w:t>
      </w:r>
    </w:p>
    <w:p w14:paraId="0000020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0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Data-driven and evidence-based programming (KDHS, GBVIMS).</w:t>
      </w:r>
    </w:p>
    <w:p w14:paraId="0000020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0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24 - 0.07% Coverage</w:t>
      </w:r>
    </w:p>
    <w:p w14:paraId="0000020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0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Evidence base from longitudinal research provides justification for scaling up (especially girls’ clubs and whole-school models).</w:t>
      </w:r>
    </w:p>
    <w:p w14:paraId="0000021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1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25 - 0.19% Coverage</w:t>
      </w:r>
    </w:p>
    <w:p w14:paraId="0000021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1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Provides evidence on the effectiveness of school-based interventions which can inform further investments in SRGBV programming in Sub-Saharan Africa.</w:t>
      </w:r>
    </w:p>
    <w:p w14:paraId="0000021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1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26 - 0.19% Coverage</w:t>
      </w:r>
    </w:p>
    <w:p w14:paraId="0000021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1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Existence of evidence showing that effect</w:t>
      </w:r>
      <w:r>
        <w:rPr>
          <w:rFonts w:ascii="Calibri" w:eastAsia="Calibri" w:hAnsi="Calibri" w:cs="Calibri"/>
          <w:color w:val="000000"/>
          <w:sz w:val="22"/>
          <w:szCs w:val="22"/>
        </w:rPr>
        <w:t>ive prevention strategies must go beyond legal bans and teacher training to address the normative climates that sustain violent discipline. Programs that directly engage adolescents, mobilize peers, and connect school interventions with home</w:t>
      </w:r>
    </w:p>
    <w:p w14:paraId="0000021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environments o</w:t>
      </w:r>
      <w:r>
        <w:rPr>
          <w:rFonts w:ascii="Calibri" w:eastAsia="Calibri" w:hAnsi="Calibri" w:cs="Calibri"/>
          <w:color w:val="000000"/>
          <w:sz w:val="22"/>
          <w:szCs w:val="22"/>
        </w:rPr>
        <w:t>ffer promising pathways to safer schools. This study contributes</w:t>
      </w:r>
    </w:p>
    <w:p w14:paraId="0000021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new evidence on the normative underpinnings of teacher violence and points to adolescent-</w:t>
      </w:r>
    </w:p>
    <w:p w14:paraId="0000021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and peer-focused approaches as essential complements to policy and institutional reforms</w:t>
      </w:r>
    </w:p>
    <w:p w14:paraId="0000021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1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w:t>
      </w:r>
      <w:r>
        <w:rPr>
          <w:rFonts w:ascii="Calibri" w:eastAsia="Calibri" w:hAnsi="Calibri" w:cs="Calibri"/>
          <w:color w:val="000000"/>
          <w:sz w:val="22"/>
          <w:szCs w:val="22"/>
          <w:shd w:val="clear" w:color="auto" w:fill="D3D3D3"/>
        </w:rPr>
        <w:t>7 - 0.19% Coverage</w:t>
      </w:r>
    </w:p>
    <w:p w14:paraId="0000021D"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1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Existence of research that shows a critical picture of our current state of knowledge </w:t>
      </w:r>
    </w:p>
    <w:p w14:paraId="0000021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on SRGBV, identifying major gaps and weaknesses in our evidence base.                                                                                                                                       - Areas with involvement of parents, pupils, teacher</w:t>
      </w:r>
      <w:r>
        <w:rPr>
          <w:rFonts w:ascii="Calibri" w:eastAsia="Calibri" w:hAnsi="Calibri" w:cs="Calibri"/>
          <w:color w:val="000000"/>
          <w:sz w:val="22"/>
          <w:szCs w:val="22"/>
        </w:rPr>
        <w:t>s and community in interventions development already has deep shifts in perception and each party's worthwhile knowledge is taken seriously.</w:t>
      </w:r>
    </w:p>
    <w:p w14:paraId="0000022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rPr>
      </w:pPr>
    </w:p>
    <w:p w14:paraId="0000022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8"/>
          <w:szCs w:val="28"/>
          <w:highlight w:val="yellow"/>
        </w:rPr>
      </w:pPr>
      <w:r>
        <w:rPr>
          <w:rFonts w:ascii="Calibri" w:eastAsia="Calibri" w:hAnsi="Calibri" w:cs="Calibri"/>
          <w:color w:val="000000"/>
          <w:sz w:val="28"/>
          <w:szCs w:val="28"/>
          <w:highlight w:val="yellow"/>
        </w:rPr>
        <w:t>Theme 8:  Community, Normative and Advocacy Engagement Opportunities</w:t>
      </w:r>
    </w:p>
    <w:p w14:paraId="0000022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2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&lt;Files\\SRGBV Policy Review BEFORE CODING (2)&gt; - § 20 references coded  [0.88% Coverage]</w:t>
      </w:r>
    </w:p>
    <w:p w14:paraId="0000022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2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1 - 0.02% Coverage</w:t>
      </w:r>
    </w:p>
    <w:p w14:paraId="0000022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2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Potential for civil society / community engagement: The policy acknowledges roles for non-state actors and community mobilization, which</w:t>
      </w:r>
      <w:r>
        <w:rPr>
          <w:rFonts w:ascii="Calibri" w:eastAsia="Calibri" w:hAnsi="Calibri" w:cs="Calibri"/>
          <w:color w:val="000000"/>
          <w:sz w:val="22"/>
          <w:szCs w:val="22"/>
        </w:rPr>
        <w:t xml:space="preserve"> is critical for outreach, awareness, and social norm change.   </w:t>
      </w:r>
    </w:p>
    <w:p w14:paraId="0000022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2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2 - 0.03% Coverage</w:t>
      </w:r>
    </w:p>
    <w:p w14:paraId="0000022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2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5. Growing community networks and stakeholder coalitions that periodically share information and conduct joint GBV activities</w:t>
      </w:r>
    </w:p>
    <w:p w14:paraId="0000022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2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3 - 0.07% Coverage</w:t>
      </w:r>
    </w:p>
    <w:p w14:paraId="0000022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2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The plan stresses male involvement as critical in changing social norms and preventing GBV, moving away from the misconception that GBV is a “women-only issue”</w:t>
      </w:r>
    </w:p>
    <w:p w14:paraId="0000023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3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4 - 0.03% Coverage</w:t>
      </w:r>
    </w:p>
    <w:p w14:paraId="0000023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3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Emphasis on community and parental involvement as allies in creat</w:t>
      </w:r>
      <w:r>
        <w:rPr>
          <w:rFonts w:ascii="Calibri" w:eastAsia="Calibri" w:hAnsi="Calibri" w:cs="Calibri"/>
          <w:color w:val="000000"/>
          <w:sz w:val="22"/>
          <w:szCs w:val="22"/>
        </w:rPr>
        <w:t>ing safe learning environments .</w:t>
      </w:r>
    </w:p>
    <w:p w14:paraId="0000023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3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5 - 0.03% Coverage</w:t>
      </w:r>
    </w:p>
    <w:p w14:paraId="0000023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3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Community and parent engagement can help shift norms around harassment and power.</w:t>
      </w:r>
    </w:p>
    <w:p w14:paraId="0000023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3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6 - 0.03% Coverage</w:t>
      </w:r>
    </w:p>
    <w:p w14:paraId="0000023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3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Growing awareness and advocacy platforms for gender equality.</w:t>
      </w:r>
    </w:p>
    <w:p w14:paraId="0000023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3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7 - 0.03% Coverage</w:t>
      </w:r>
    </w:p>
    <w:p w14:paraId="0000023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3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Community-level engagement and ownership.</w:t>
      </w:r>
    </w:p>
    <w:p w14:paraId="0000024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4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8 - 0.04% Coverage</w:t>
      </w:r>
    </w:p>
    <w:p w14:paraId="0000024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4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Growing public awareness of child rights and GBV.</w:t>
      </w:r>
    </w:p>
    <w:p w14:paraId="0000024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4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9 - 0.06% Coverage</w:t>
      </w:r>
    </w:p>
    <w:p w14:paraId="0000024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4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Community-based structures (nyumba kumi, local leaders) that can f</w:t>
      </w:r>
      <w:r>
        <w:rPr>
          <w:rFonts w:ascii="Calibri" w:eastAsia="Calibri" w:hAnsi="Calibri" w:cs="Calibri"/>
          <w:color w:val="000000"/>
          <w:sz w:val="22"/>
          <w:szCs w:val="22"/>
        </w:rPr>
        <w:t>acilitate early intervention.</w:t>
      </w:r>
    </w:p>
    <w:p w14:paraId="0000024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4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10 - 0.04% Coverage</w:t>
      </w:r>
    </w:p>
    <w:p w14:paraId="0000024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4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Public engagement through digital advocacy and partnerships with donors.</w:t>
      </w:r>
    </w:p>
    <w:p w14:paraId="0000024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4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11 - 0.05% Coverage</w:t>
      </w:r>
    </w:p>
    <w:p w14:paraId="0000024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4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The Boys and Girls Safe Spaces Partnership demonstrates a holistic, community-based model to address GBV and promote equality in education.</w:t>
      </w:r>
    </w:p>
    <w:p w14:paraId="0000025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5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12 - 0.04% Coverage</w:t>
      </w:r>
    </w:p>
    <w:p w14:paraId="0000025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5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Encourages gender-inclusive engagement, not only focusing on girls but also boys as allies against harmful norms.</w:t>
      </w:r>
    </w:p>
    <w:p w14:paraId="0000025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5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13 - 0.05% Coverage</w:t>
      </w:r>
    </w:p>
    <w:p w14:paraId="0000025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5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Growing community awareness and advocacy capacity through TFK networks.</w:t>
      </w:r>
    </w:p>
    <w:p w14:paraId="0000025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5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14 - 0.04% Coverage</w:t>
      </w:r>
    </w:p>
    <w:p w14:paraId="0000025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5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w:t>
      </w:r>
      <w:r>
        <w:rPr>
          <w:rFonts w:ascii="Calibri" w:eastAsia="Calibri" w:hAnsi="Calibri" w:cs="Calibri"/>
          <w:color w:val="000000"/>
          <w:sz w:val="22"/>
          <w:szCs w:val="22"/>
        </w:rPr>
        <w:t>High community interest in addressing teenage pregnancy and HIV.</w:t>
      </w:r>
    </w:p>
    <w:p w14:paraId="0000025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5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15 - 0.03% Coverage</w:t>
      </w:r>
    </w:p>
    <w:p w14:paraId="0000025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5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grassroots networks and county presence.</w:t>
      </w:r>
    </w:p>
    <w:p w14:paraId="0000026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6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16 - 0.12% Coverage</w:t>
      </w:r>
    </w:p>
    <w:p w14:paraId="0000026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6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Partnerships with media, private sector, and donors (Mastercard Foundation, Plan International, KIT).</w:t>
      </w:r>
    </w:p>
    <w:p w14:paraId="0000026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Youth engagement and community ownership.</w:t>
      </w:r>
    </w:p>
    <w:p w14:paraId="0000026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Use of Tuseme model to build student agency and advocacy capacity.</w:t>
      </w:r>
    </w:p>
    <w:p w14:paraId="0000026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6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17 - 0.04% Coverage</w:t>
      </w:r>
    </w:p>
    <w:p w14:paraId="0000026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6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Youth</w:t>
      </w:r>
      <w:r>
        <w:rPr>
          <w:rFonts w:ascii="Calibri" w:eastAsia="Calibri" w:hAnsi="Calibri" w:cs="Calibri"/>
          <w:color w:val="000000"/>
          <w:sz w:val="22"/>
          <w:szCs w:val="22"/>
        </w:rPr>
        <w:t>, women, and community networks engaged through the GEF Mashinani model.</w:t>
      </w:r>
    </w:p>
    <w:p w14:paraId="0000026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6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18 - 0.05% Coverage</w:t>
      </w:r>
    </w:p>
    <w:p w14:paraId="0000026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6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Strong local engagement through community groups, women’s associations, and child protection committees.</w:t>
      </w:r>
    </w:p>
    <w:p w14:paraId="0000026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6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19 - 0.05% Coverage</w:t>
      </w:r>
    </w:p>
    <w:p w14:paraId="0000027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7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Parental a</w:t>
      </w:r>
      <w:r>
        <w:rPr>
          <w:rFonts w:ascii="Calibri" w:eastAsia="Calibri" w:hAnsi="Calibri" w:cs="Calibri"/>
          <w:color w:val="000000"/>
          <w:sz w:val="22"/>
          <w:szCs w:val="22"/>
        </w:rPr>
        <w:t>nd community involvement opportunities through sensitization.</w:t>
      </w:r>
    </w:p>
    <w:p w14:paraId="0000027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7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20 - 0.03% Coverage</w:t>
      </w:r>
    </w:p>
    <w:p w14:paraId="0000027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7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community/principal-led safety innovations (e.g., WSB).</w:t>
      </w:r>
    </w:p>
    <w:p w14:paraId="0000027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7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8"/>
          <w:szCs w:val="28"/>
          <w:highlight w:val="yellow"/>
        </w:rPr>
      </w:pPr>
      <w:r>
        <w:rPr>
          <w:rFonts w:ascii="Calibri" w:eastAsia="Calibri" w:hAnsi="Calibri" w:cs="Calibri"/>
          <w:color w:val="000000"/>
          <w:sz w:val="28"/>
          <w:szCs w:val="28"/>
          <w:highlight w:val="yellow"/>
        </w:rPr>
        <w:t>Theme 9: Builds on OR aligns with existing policies OR laws</w:t>
      </w:r>
    </w:p>
    <w:p w14:paraId="0000027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7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&lt;Files\\SRGBV Policy Review BEFORE CODING (2)&gt; - § 5 references coded  [0.23% Coverage]</w:t>
      </w:r>
    </w:p>
    <w:p w14:paraId="0000027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7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1 - 0.03% Coverage</w:t>
      </w:r>
    </w:p>
    <w:p w14:paraId="0000027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7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Aligns with Kenya’s education gender policies and the national child protection framework.</w:t>
      </w:r>
    </w:p>
    <w:p w14:paraId="0000027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7F"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2 - 0.05% Coverage</w:t>
      </w:r>
    </w:p>
    <w:p w14:paraId="00000280"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81"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Aligns with</w:t>
      </w:r>
      <w:r>
        <w:rPr>
          <w:rFonts w:ascii="Calibri" w:eastAsia="Calibri" w:hAnsi="Calibri" w:cs="Calibri"/>
          <w:color w:val="000000"/>
          <w:sz w:val="22"/>
          <w:szCs w:val="22"/>
        </w:rPr>
        <w:t xml:space="preserve"> global frameworks on child rights and gender equality, and can inform Kenya’s education policy implementation at county level.</w:t>
      </w:r>
    </w:p>
    <w:p w14:paraId="00000282"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83"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3 - 0.04% Coverage</w:t>
      </w:r>
    </w:p>
    <w:p w14:paraId="0000028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85"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Aligns with SDG 4 (Quality Education) and SDG 5 (Gender Equality)</w:t>
      </w:r>
    </w:p>
    <w:p w14:paraId="0000028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87"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4 - 0.05% Coverage</w:t>
      </w:r>
    </w:p>
    <w:p w14:paraId="00000288"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89"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Builds directly on existing policies like codes of conduct and teacher training standards.</w:t>
      </w:r>
    </w:p>
    <w:p w14:paraId="0000028A"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8B"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5 - 0.05% Coverage</w:t>
      </w:r>
    </w:p>
    <w:p w14:paraId="0000028C"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8D"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Digital tools and STEM focus align with Kenya’s Competency-Based Curriculum and ICT in education policy.</w:t>
      </w:r>
    </w:p>
    <w:p w14:paraId="0000028E"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rPr>
      </w:pPr>
    </w:p>
    <w:p w14:paraId="0000028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rPr>
      </w:pPr>
    </w:p>
    <w:p w14:paraId="0000029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8"/>
          <w:szCs w:val="28"/>
          <w:highlight w:val="yellow"/>
        </w:rPr>
      </w:pPr>
      <w:r>
        <w:rPr>
          <w:rFonts w:ascii="Calibri" w:eastAsia="Calibri" w:hAnsi="Calibri" w:cs="Calibri"/>
          <w:color w:val="000000"/>
          <w:sz w:val="28"/>
          <w:szCs w:val="28"/>
          <w:highlight w:val="yellow"/>
        </w:rPr>
        <w:t>Theme 10: Better School Systems to handle GBV cases</w:t>
      </w:r>
    </w:p>
    <w:p w14:paraId="0000029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9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&lt;Files\\SRGBV Policy Review BEFORE CODING (2)&gt; - § 12 references coded  [0.68% Coverage]</w:t>
      </w:r>
    </w:p>
    <w:p w14:paraId="0000029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9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1 - 0.06% Coverage</w:t>
      </w:r>
    </w:p>
    <w:p w14:paraId="0000029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9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“Co-curricular activities such as drama, music, sports and clubs can provide platfo</w:t>
      </w:r>
      <w:r>
        <w:rPr>
          <w:rFonts w:ascii="Calibri" w:eastAsia="Calibri" w:hAnsi="Calibri" w:cs="Calibri"/>
          <w:color w:val="000000"/>
          <w:sz w:val="22"/>
          <w:szCs w:val="22"/>
        </w:rPr>
        <w:t>rms for presenting themes on prevention of violence against children.”</w:t>
      </w:r>
    </w:p>
    <w:p w14:paraId="00000297"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9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2 - 0.05% Coverage</w:t>
      </w:r>
    </w:p>
    <w:p w14:paraId="00000299"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9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“Children’s assemblies and peer-to-peer initiatives provide opportunities for child participation and creating awareness on child protection.”</w:t>
      </w:r>
    </w:p>
    <w:p w14:paraId="0000029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9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3 - 0.03% Coverage</w:t>
      </w:r>
    </w:p>
    <w:p w14:paraId="0000029D"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9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School heads can adopt or strengthen school-level codes of conduct and complaint mechanisms.</w:t>
      </w:r>
    </w:p>
    <w:p w14:paraId="0000029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A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4 - 0.03% Coverage</w:t>
      </w:r>
    </w:p>
    <w:p w14:paraId="000002A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A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Incorporation of online/digital safety into curricula or school guidance programs.</w:t>
      </w:r>
    </w:p>
    <w:p w14:paraId="000002A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A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5 - 0.05% Coverage</w:t>
      </w:r>
    </w:p>
    <w:p w14:paraId="000002A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A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The Let’s Girls Thrive and Speak Up Boxes initiatives provide scalable, low-cost models for safeguarding children in schools.</w:t>
      </w:r>
    </w:p>
    <w:p w14:paraId="000002A7"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A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6 - 0.03% Coverage</w:t>
      </w:r>
    </w:p>
    <w:p w14:paraId="000002A9"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A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Highlights the role of teachers as first responders in identifyin</w:t>
      </w:r>
      <w:r>
        <w:rPr>
          <w:rFonts w:ascii="Calibri" w:eastAsia="Calibri" w:hAnsi="Calibri" w:cs="Calibri"/>
          <w:color w:val="000000"/>
          <w:sz w:val="22"/>
          <w:szCs w:val="22"/>
        </w:rPr>
        <w:t>g abuse.</w:t>
      </w:r>
    </w:p>
    <w:p w14:paraId="000002A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A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7 - 0.03% Coverage</w:t>
      </w:r>
    </w:p>
    <w:p w14:paraId="000002AD"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A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School-based girls’ clubs (Ghana, Kenya, Mozambique)</w:t>
      </w:r>
    </w:p>
    <w:p w14:paraId="000002A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B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8 - 0.04% Coverage</w:t>
      </w:r>
    </w:p>
    <w:p w14:paraId="000002B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B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Recommendation to integrate GBV prevention and SRH education into school curricula.</w:t>
      </w:r>
    </w:p>
    <w:p w14:paraId="000002B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B4"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9 - 0.05% Coverage</w:t>
      </w:r>
    </w:p>
    <w:p w14:paraId="000002B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B6"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School-level commitment through enforcement of rules and regulations.</w:t>
      </w:r>
    </w:p>
    <w:p w14:paraId="000002B7"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B8"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10 - 0.19% Coverage</w:t>
      </w:r>
    </w:p>
    <w:p w14:paraId="000002B9"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BA"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Acknowledgement of schools' role of leading social change including SRGBV.</w:t>
      </w:r>
    </w:p>
    <w:p w14:paraId="000002BB"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BC"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11 - 0.06% Coverage</w:t>
      </w:r>
    </w:p>
    <w:p w14:paraId="000002BD"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BE"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 xml:space="preserve">- Using Dialogical Teaching Methods in teaching lifeskills and moral education help students to challenge issues related to SRGBV </w:t>
      </w:r>
    </w:p>
    <w:p w14:paraId="000002BF"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C0"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r>
        <w:rPr>
          <w:rFonts w:ascii="Calibri" w:eastAsia="Calibri" w:hAnsi="Calibri" w:cs="Calibri"/>
          <w:color w:val="000000"/>
          <w:sz w:val="22"/>
          <w:szCs w:val="22"/>
          <w:shd w:val="clear" w:color="auto" w:fill="D3D3D3"/>
        </w:rPr>
        <w:t>Reference 12 - 0.05% Coverage</w:t>
      </w:r>
    </w:p>
    <w:p w14:paraId="000002C1"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shd w:val="clear" w:color="auto" w:fill="D3D3D3"/>
        </w:rPr>
      </w:pPr>
    </w:p>
    <w:p w14:paraId="000002C2" w14:textId="77777777" w:rsidR="008F439D" w:rsidRDefault="00303ECB">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r>
        <w:rPr>
          <w:rFonts w:ascii="Calibri" w:eastAsia="Calibri" w:hAnsi="Calibri" w:cs="Calibri"/>
          <w:color w:val="000000"/>
          <w:sz w:val="22"/>
          <w:szCs w:val="22"/>
        </w:rPr>
        <w:t>many Nairobi schools already have Guidance &amp; Counselling Departments that can be strengthened</w:t>
      </w:r>
    </w:p>
    <w:p w14:paraId="000002C3"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rPr>
      </w:pPr>
    </w:p>
    <w:p w14:paraId="000002C4"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b/>
          <w:bCs/>
          <w:color w:val="000000"/>
          <w:sz w:val="22"/>
          <w:szCs w:val="22"/>
        </w:rPr>
      </w:pPr>
    </w:p>
    <w:p w14:paraId="000002C5"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C6" w14:textId="77777777" w:rsidR="008F439D" w:rsidRDefault="008F439D">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Calibri" w:eastAsia="Calibri" w:hAnsi="Calibri" w:cs="Calibri"/>
          <w:color w:val="000000"/>
          <w:sz w:val="22"/>
          <w:szCs w:val="22"/>
        </w:rPr>
      </w:pPr>
    </w:p>
    <w:p w14:paraId="000002C7" w14:textId="77777777" w:rsidR="008F439D" w:rsidRDefault="008F439D"/>
    <w:sectPr w:rsidR="008F439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embedRegular r:id="rId1" w:fontKey="{2AABC146-190E-4FF0-92C9-BFA4919709D6}"/>
    <w:embedBold r:id="rId2" w:fontKey="{6939E5D4-E43A-460D-BE84-7FCA9FB4BFE8}"/>
    <w:embedItalic r:id="rId3" w:fontKey="{38B01E3C-4343-4968-9D26-AB6C16CC62C9}"/>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F5405112-7E37-4E70-9AC5-55FC69E8A8DE}"/>
  </w:font>
  <w:font w:name="Quattrocento Sans">
    <w:charset w:val="00"/>
    <w:family w:val="auto"/>
    <w:pitch w:val="default"/>
    <w:embedRegular r:id="rId5" w:fontKey="{9A245887-4CE1-407B-9E2F-FC202E4010B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39D"/>
    <w:rsid w:val="00303ECB"/>
    <w:rsid w:val="008F439D"/>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7FD770-0E5D-4CB3-86CA-677848E94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 w:eastAsia="en-KE" w:bidi="ar-SA"/>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Heading2">
    <w:name w:val="heading 2"/>
    <w:basedOn w:val="Normal"/>
    <w:next w:val="Normal"/>
    <w:link w:val="Heading2Char"/>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Heading5">
    <w:name w:val="heading 5"/>
    <w:basedOn w:val="Normal"/>
    <w:next w:val="Normal"/>
    <w:link w:val="Heading5Char"/>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Heading6">
    <w:name w:val="heading 6"/>
    <w:basedOn w:val="Normal"/>
    <w:next w:val="Normal"/>
    <w:link w:val="Heading6Char"/>
    <w:uiPriority w:val="9"/>
    <w:semiHidden/>
    <w:unhideWhenUsed/>
    <w:qFormat/>
    <w:pPr>
      <w:keepNext/>
      <w:keepLines/>
      <w:spacing w:before="40" w:after="0" w:line="278" w:lineRule="auto"/>
      <w:outlineLvl w:val="5"/>
    </w:pPr>
    <w:rPr>
      <w:rFonts w:ascii="Calibri" w:eastAsia="Calibri" w:hAnsi="Calibri" w:cs="Calibri"/>
      <w:i/>
      <w:iCs/>
      <w:color w:val="595959"/>
    </w:rPr>
  </w:style>
  <w:style w:type="paragraph" w:styleId="Heading7">
    <w:name w:val="heading 7"/>
    <w:basedOn w:val="Normal"/>
    <w:next w:val="Normal"/>
    <w:link w:val="Heading7Char"/>
    <w:uiPriority w:val="9"/>
    <w:semiHidden/>
    <w:unhideWhenUsed/>
    <w:qFormat/>
    <w:rsid w:val="00B57081"/>
    <w:pPr>
      <w:keepNext/>
      <w:keepLines/>
      <w:spacing w:before="40" w:after="0" w:line="278" w:lineRule="auto"/>
      <w:outlineLvl w:val="6"/>
    </w:pPr>
    <w:rPr>
      <w:rFonts w:asciiTheme="minorHAnsi" w:eastAsiaTheme="majorEastAsia" w:hAnsiTheme="minorHAnsi" w:cstheme="majorBidi"/>
      <w:color w:val="595959" w:themeColor="text1" w:themeTint="A6"/>
      <w:kern w:val="2"/>
    </w:rPr>
  </w:style>
  <w:style w:type="paragraph" w:styleId="Heading8">
    <w:name w:val="heading 8"/>
    <w:basedOn w:val="Normal"/>
    <w:next w:val="Normal"/>
    <w:link w:val="Heading8Char"/>
    <w:uiPriority w:val="9"/>
    <w:semiHidden/>
    <w:unhideWhenUsed/>
    <w:qFormat/>
    <w:rsid w:val="00B57081"/>
    <w:pPr>
      <w:keepNext/>
      <w:keepLines/>
      <w:spacing w:after="0" w:line="278" w:lineRule="auto"/>
      <w:outlineLvl w:val="7"/>
    </w:pPr>
    <w:rPr>
      <w:rFonts w:asciiTheme="minorHAnsi" w:eastAsiaTheme="majorEastAsia" w:hAnsiTheme="minorHAnsi"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B57081"/>
    <w:pPr>
      <w:keepNext/>
      <w:keepLines/>
      <w:spacing w:after="0" w:line="278" w:lineRule="auto"/>
      <w:outlineLvl w:val="8"/>
    </w:pPr>
    <w:rPr>
      <w:rFonts w:asciiTheme="minorHAnsi" w:eastAsiaTheme="majorEastAsia" w:hAnsiTheme="minorHAnsi"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Calibri" w:eastAsia="Calibri" w:hAnsi="Calibri" w:cs="Calibri"/>
      <w:sz w:val="56"/>
      <w:szCs w:val="56"/>
    </w:rPr>
  </w:style>
  <w:style w:type="character" w:customStyle="1" w:styleId="Heading1Char">
    <w:name w:val="Heading 1 Char"/>
    <w:basedOn w:val="DefaultParagraphFont"/>
    <w:link w:val="Heading1"/>
    <w:uiPriority w:val="9"/>
    <w:rsid w:val="00B570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570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70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70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70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70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0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0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081"/>
    <w:rPr>
      <w:rFonts w:eastAsiaTheme="majorEastAsia" w:cstheme="majorBidi"/>
      <w:color w:val="272727" w:themeColor="text1" w:themeTint="D8"/>
    </w:rPr>
  </w:style>
  <w:style w:type="character" w:customStyle="1" w:styleId="TitleChar">
    <w:name w:val="Title Char"/>
    <w:basedOn w:val="DefaultParagraphFont"/>
    <w:link w:val="Title"/>
    <w:uiPriority w:val="10"/>
    <w:rsid w:val="00B57081"/>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B570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7081"/>
    <w:pPr>
      <w:spacing w:before="160" w:line="278" w:lineRule="auto"/>
      <w:jc w:val="center"/>
    </w:pPr>
    <w:rPr>
      <w:rFonts w:asciiTheme="minorHAnsi" w:eastAsiaTheme="minorHAnsi" w:hAnsiTheme="minorHAnsi" w:cstheme="minorBidi"/>
      <w:i/>
      <w:iCs/>
      <w:color w:val="404040" w:themeColor="text1" w:themeTint="BF"/>
      <w:kern w:val="2"/>
    </w:rPr>
  </w:style>
  <w:style w:type="character" w:customStyle="1" w:styleId="QuoteChar">
    <w:name w:val="Quote Char"/>
    <w:basedOn w:val="DefaultParagraphFont"/>
    <w:link w:val="Quote"/>
    <w:uiPriority w:val="29"/>
    <w:rsid w:val="00B57081"/>
    <w:rPr>
      <w:i/>
      <w:iCs/>
      <w:color w:val="404040" w:themeColor="text1" w:themeTint="BF"/>
    </w:rPr>
  </w:style>
  <w:style w:type="paragraph" w:styleId="ListParagraph">
    <w:name w:val="List Paragraph"/>
    <w:basedOn w:val="Normal"/>
    <w:uiPriority w:val="34"/>
    <w:qFormat/>
    <w:rsid w:val="00B57081"/>
    <w:pPr>
      <w:spacing w:line="278" w:lineRule="auto"/>
      <w:ind w:left="720"/>
      <w:contextualSpacing/>
    </w:pPr>
    <w:rPr>
      <w:rFonts w:asciiTheme="minorHAnsi" w:eastAsiaTheme="minorHAnsi" w:hAnsiTheme="minorHAnsi" w:cstheme="minorBidi"/>
      <w:kern w:val="2"/>
    </w:rPr>
  </w:style>
  <w:style w:type="character" w:styleId="IntenseEmphasis">
    <w:name w:val="Intense Emphasis"/>
    <w:basedOn w:val="DefaultParagraphFont"/>
    <w:uiPriority w:val="21"/>
    <w:qFormat/>
    <w:rsid w:val="00B57081"/>
    <w:rPr>
      <w:i/>
      <w:iCs/>
      <w:color w:val="2F5496" w:themeColor="accent1" w:themeShade="BF"/>
    </w:rPr>
  </w:style>
  <w:style w:type="paragraph" w:styleId="IntenseQuote">
    <w:name w:val="Intense Quote"/>
    <w:basedOn w:val="Normal"/>
    <w:next w:val="Normal"/>
    <w:link w:val="IntenseQuoteChar"/>
    <w:uiPriority w:val="30"/>
    <w:qFormat/>
    <w:rsid w:val="00B57081"/>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ntenseQuoteChar">
    <w:name w:val="Intense Quote Char"/>
    <w:basedOn w:val="DefaultParagraphFont"/>
    <w:link w:val="IntenseQuote"/>
    <w:uiPriority w:val="30"/>
    <w:rsid w:val="00B57081"/>
    <w:rPr>
      <w:i/>
      <w:iCs/>
      <w:color w:val="2F5496" w:themeColor="accent1" w:themeShade="BF"/>
    </w:rPr>
  </w:style>
  <w:style w:type="character" w:styleId="IntenseReference">
    <w:name w:val="Intense Reference"/>
    <w:basedOn w:val="DefaultParagraphFont"/>
    <w:uiPriority w:val="32"/>
    <w:qFormat/>
    <w:rsid w:val="00B57081"/>
    <w:rPr>
      <w:b/>
      <w:bCs/>
      <w:smallCaps/>
      <w:color w:val="2F5496" w:themeColor="accent1" w:themeShade="BF"/>
      <w:spacing w:val="5"/>
    </w:rPr>
  </w:style>
  <w:style w:type="paragraph" w:customStyle="1" w:styleId="Normal0">
    <w:name w:val="[Normal]"/>
    <w:qFormat/>
    <w:rsid w:val="00B57081"/>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cs="Times New Roman"/>
      <w:szCs w:val="20"/>
    </w:rPr>
  </w:style>
  <w:style w:type="paragraph" w:styleId="Subtitle">
    <w:name w:val="Subtitle"/>
    <w:basedOn w:val="Normal"/>
    <w:next w:val="Normal"/>
    <w:link w:val="SubtitleChar"/>
    <w:uiPriority w:val="11"/>
    <w:qFormat/>
    <w:pPr>
      <w:spacing w:line="278" w:lineRule="auto"/>
    </w:pPr>
    <w:rPr>
      <w:rFonts w:ascii="Calibri" w:eastAsia="Calibri" w:hAnsi="Calibri" w:cs="Calibri"/>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4k7/20AsIrYniS03VKY51SXAdQ==">CgMxLjA4AHIhMWVIdDB0eVFscVZoLTVxTzkzYkZxa0RReU1PQXNydWtm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3638</Words>
  <Characters>20740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Lucy Wakiaga</cp:lastModifiedBy>
  <cp:revision>2</cp:revision>
  <dcterms:created xsi:type="dcterms:W3CDTF">2026-07-01T15:27:00Z</dcterms:created>
  <dcterms:modified xsi:type="dcterms:W3CDTF">2026-07-01T15:27:00Z</dcterms:modified>
</cp:coreProperties>
</file>