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b/>
          <w:bCs/>
          <w:sz w:val="28"/>
          <w:szCs w:val="28"/>
          <w:u w:val="single"/>
        </w:rPr>
      </w:pPr>
      <w:bookmarkStart w:id="0" w:name="_GoBack"/>
      <w:bookmarkEnd w:id="0"/>
      <w:r>
        <w:rPr>
          <w:b/>
          <w:bCs/>
          <w:sz w:val="28"/>
          <w:szCs w:val="28"/>
          <w:u w:val="single"/>
        </w:rPr>
        <w:t xml:space="preserve">(RQ2 </w:t>
      </w:r>
      <w:proofErr w:type="gramStart"/>
      <w:r>
        <w:rPr>
          <w:b/>
          <w:bCs/>
          <w:sz w:val="28"/>
          <w:szCs w:val="28"/>
          <w:u w:val="single"/>
        </w:rPr>
        <w:t>B)_</w:t>
      </w:r>
      <w:proofErr w:type="gramEnd"/>
      <w:r>
        <w:rPr>
          <w:b/>
          <w:bCs/>
          <w:sz w:val="28"/>
          <w:szCs w:val="28"/>
          <w:u w:val="single"/>
        </w:rPr>
        <w:t xml:space="preserve"> ACTUAL IMPLEMENTATION STRATEGIES</w:t>
      </w:r>
    </w:p>
    <w:p w14:paraId="00000002"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b/>
          <w:bCs/>
          <w:sz w:val="28"/>
          <w:szCs w:val="28"/>
          <w:u w:val="single"/>
        </w:rPr>
      </w:pPr>
    </w:p>
    <w:p w14:paraId="00000003"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hd w:val="clear" w:color="auto" w:fill="9900FF"/>
        </w:rPr>
      </w:pPr>
      <w:r>
        <w:rPr>
          <w:shd w:val="clear" w:color="auto" w:fill="9900FF"/>
        </w:rPr>
        <w:t>To identify and evaluate the strategies that have been used in implementing the SRBGV prevention policies and guidelines in Kenya’s schools.</w:t>
      </w:r>
    </w:p>
    <w:p w14:paraId="00000004"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hd w:val="clear" w:color="auto" w:fill="9900FF"/>
        </w:rPr>
      </w:pPr>
    </w:p>
    <w:p w14:paraId="00000005" w14:textId="77777777" w:rsidR="001F3CC6" w:rsidRDefault="00B20886">
      <w:pPr>
        <w:numPr>
          <w:ilvl w:val="0"/>
          <w:numId w:val="4"/>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red"/>
        </w:rPr>
      </w:pPr>
      <w:r>
        <w:rPr>
          <w:sz w:val="28"/>
          <w:szCs w:val="28"/>
          <w:highlight w:val="red"/>
        </w:rPr>
        <w:t>LEGAL AND GOVERNANCE FOUNDATION SYSTEMS</w:t>
      </w:r>
    </w:p>
    <w:p w14:paraId="00000006"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red"/>
        </w:rPr>
      </w:pPr>
    </w:p>
    <w:p w14:paraId="0000000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0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yellow"/>
        </w:rPr>
      </w:pPr>
      <w:r>
        <w:rPr>
          <w:sz w:val="28"/>
          <w:szCs w:val="28"/>
          <w:highlight w:val="yellow"/>
        </w:rPr>
        <w:t>Theme 1: Multisectoral coordination, Partnership and Governance</w:t>
      </w:r>
    </w:p>
    <w:p w14:paraId="0000000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0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7 references </w:t>
      </w:r>
      <w:proofErr w:type="gramStart"/>
      <w:r>
        <w:rPr>
          <w:sz w:val="22"/>
          <w:szCs w:val="22"/>
          <w:shd w:val="clear" w:color="auto" w:fill="D3D3D3"/>
        </w:rPr>
        <w:t>coded  [</w:t>
      </w:r>
      <w:proofErr w:type="gramEnd"/>
      <w:r>
        <w:rPr>
          <w:sz w:val="22"/>
          <w:szCs w:val="22"/>
          <w:shd w:val="clear" w:color="auto" w:fill="D3D3D3"/>
        </w:rPr>
        <w:t>0.25% Coverage]</w:t>
      </w:r>
    </w:p>
    <w:p w14:paraId="0000000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0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1 - 0.04% Coverage</w:t>
      </w:r>
    </w:p>
    <w:p w14:paraId="0000000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0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Establishment of gender units and officers in </w:t>
      </w:r>
      <w:proofErr w:type="spellStart"/>
      <w:r>
        <w:rPr>
          <w:sz w:val="22"/>
          <w:szCs w:val="22"/>
        </w:rPr>
        <w:t>MoEST</w:t>
      </w:r>
      <w:proofErr w:type="spellEnd"/>
      <w:r>
        <w:rPr>
          <w:sz w:val="22"/>
          <w:szCs w:val="22"/>
        </w:rPr>
        <w:t xml:space="preserve"> and county/sub-coun</w:t>
      </w:r>
      <w:r>
        <w:rPr>
          <w:sz w:val="22"/>
          <w:szCs w:val="22"/>
        </w:rPr>
        <w:t>ty offices.</w:t>
      </w:r>
    </w:p>
    <w:p w14:paraId="0000000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1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2 - 0.03% Coverage</w:t>
      </w:r>
    </w:p>
    <w:p w14:paraId="0000001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1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Collaboration with UNESCO for technical and financial support.</w:t>
      </w:r>
    </w:p>
    <w:p w14:paraId="0000001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1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1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3 - 0.03% Coverage</w:t>
      </w:r>
    </w:p>
    <w:p w14:paraId="0000001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1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roofErr w:type="spellStart"/>
      <w:r>
        <w:rPr>
          <w:sz w:val="22"/>
          <w:szCs w:val="22"/>
        </w:rPr>
        <w:t>ublic</w:t>
      </w:r>
      <w:proofErr w:type="spellEnd"/>
      <w:r>
        <w:rPr>
          <w:sz w:val="22"/>
          <w:szCs w:val="22"/>
        </w:rPr>
        <w:t>-private partnerships like “</w:t>
      </w:r>
      <w:proofErr w:type="spellStart"/>
      <w:r>
        <w:rPr>
          <w:sz w:val="22"/>
          <w:szCs w:val="22"/>
        </w:rPr>
        <w:t>FundiFix</w:t>
      </w:r>
      <w:proofErr w:type="spellEnd"/>
      <w:r>
        <w:rPr>
          <w:sz w:val="22"/>
          <w:szCs w:val="22"/>
        </w:rPr>
        <w:t>” for water system maintenance.</w:t>
      </w:r>
    </w:p>
    <w:p w14:paraId="0000001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w:t>
      </w:r>
    </w:p>
    <w:p w14:paraId="0000001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1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4 - 0.05% Coverage</w:t>
      </w:r>
    </w:p>
    <w:p w14:paraId="0000001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1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Collaboration with </w:t>
      </w:r>
      <w:proofErr w:type="spellStart"/>
      <w:r>
        <w:rPr>
          <w:sz w:val="22"/>
          <w:szCs w:val="22"/>
        </w:rPr>
        <w:t>Dandora</w:t>
      </w:r>
      <w:proofErr w:type="spellEnd"/>
      <w:r>
        <w:rPr>
          <w:sz w:val="22"/>
          <w:szCs w:val="22"/>
        </w:rPr>
        <w:t xml:space="preserve"> Children’s Office, </w:t>
      </w:r>
      <w:proofErr w:type="spellStart"/>
      <w:r>
        <w:rPr>
          <w:sz w:val="22"/>
          <w:szCs w:val="22"/>
        </w:rPr>
        <w:t>Milimani</w:t>
      </w:r>
      <w:proofErr w:type="spellEnd"/>
      <w:r>
        <w:rPr>
          <w:sz w:val="22"/>
          <w:szCs w:val="22"/>
        </w:rPr>
        <w:t xml:space="preserve"> Law Courts, and police for rescue and legal redress.</w:t>
      </w:r>
    </w:p>
    <w:p w14:paraId="0000001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1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1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5 - 0.05% Coverage</w:t>
      </w:r>
    </w:p>
    <w:p w14:paraId="0000002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2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Partnership meeting held at YMCA bringing together educators, social workers, police, and health assistants.</w:t>
      </w:r>
    </w:p>
    <w:p w14:paraId="0000002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2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w:t>
      </w:r>
      <w:r>
        <w:rPr>
          <w:sz w:val="22"/>
          <w:szCs w:val="22"/>
          <w:shd w:val="clear" w:color="auto" w:fill="D3D3D3"/>
        </w:rPr>
        <w:t>erence 6 - 0.03% Coverage</w:t>
      </w:r>
    </w:p>
    <w:p w14:paraId="0000002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2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Strengthened linkages with local police, women’s organizations, and child welfare agencies.</w:t>
      </w:r>
    </w:p>
    <w:p w14:paraId="0000002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2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2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7 - 0.03% Coverage</w:t>
      </w:r>
    </w:p>
    <w:p w14:paraId="0000002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2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Break Free: Coordinated by FAWE Kenya with county governments to enforce education-related policies on FGM, CM, and TP.</w:t>
      </w:r>
    </w:p>
    <w:p w14:paraId="0000002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yellow"/>
        </w:rPr>
      </w:pPr>
      <w:r>
        <w:rPr>
          <w:sz w:val="28"/>
          <w:szCs w:val="28"/>
          <w:highlight w:val="yellow"/>
        </w:rPr>
        <w:lastRenderedPageBreak/>
        <w:t>Theme 2: Legal, Policy and Governance Frameworks</w:t>
      </w:r>
    </w:p>
    <w:p w14:paraId="0000002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2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9 references </w:t>
      </w:r>
      <w:proofErr w:type="gramStart"/>
      <w:r>
        <w:rPr>
          <w:sz w:val="22"/>
          <w:szCs w:val="22"/>
          <w:shd w:val="clear" w:color="auto" w:fill="D3D3D3"/>
        </w:rPr>
        <w:t>coded  [</w:t>
      </w:r>
      <w:proofErr w:type="gramEnd"/>
      <w:r>
        <w:rPr>
          <w:sz w:val="22"/>
          <w:szCs w:val="22"/>
          <w:shd w:val="clear" w:color="auto" w:fill="D3D3D3"/>
        </w:rPr>
        <w:t>0.52% Coverage]</w:t>
      </w:r>
    </w:p>
    <w:p w14:paraId="0000002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2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1 - 0.11% Coverage</w:t>
      </w:r>
    </w:p>
    <w:p w14:paraId="0000003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3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Establishment of the GEF National Advisory Committee, National Steering Committee, and County GBV/FGM Committees; launch of County GBV Re</w:t>
      </w:r>
      <w:r>
        <w:rPr>
          <w:sz w:val="22"/>
          <w:szCs w:val="22"/>
        </w:rPr>
        <w:t>covery Centre Guidelines;</w:t>
      </w:r>
    </w:p>
    <w:p w14:paraId="0000003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3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2 - 0.05% Coverage</w:t>
      </w:r>
    </w:p>
    <w:p w14:paraId="0000003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3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Kenya’s parliamentary bill (2008–2011) — initiated by ActionAid and partners to criminalize sexual abuse by teachers and mandate reporting.</w:t>
      </w:r>
    </w:p>
    <w:p w14:paraId="0000003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3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3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3 - 0.12% Coverage</w:t>
      </w:r>
    </w:p>
    <w:p w14:paraId="0000003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3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The brief does not report </w:t>
      </w:r>
      <w:r>
        <w:rPr>
          <w:sz w:val="22"/>
          <w:szCs w:val="22"/>
        </w:rPr>
        <w:t>ongoing implementation but references existing legal frameworks such as the Constitution (2010), Children’s Act (2022), TSC Code of Conduct (2015), and National Prevention and Response Plan on Violence Against Children (2019–2023) as key anchors</w:t>
      </w:r>
    </w:p>
    <w:p w14:paraId="0000003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3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w:t>
      </w:r>
      <w:r>
        <w:rPr>
          <w:sz w:val="22"/>
          <w:szCs w:val="22"/>
          <w:shd w:val="clear" w:color="auto" w:fill="D3D3D3"/>
        </w:rPr>
        <w:t xml:space="preserve"> 4 - 0.02% Coverage</w:t>
      </w:r>
    </w:p>
    <w:p w14:paraId="0000003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3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Re-entry policy for girls after pregnancy.</w:t>
      </w:r>
    </w:p>
    <w:p w14:paraId="0000003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4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4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5 - 0.04% Coverage</w:t>
      </w:r>
    </w:p>
    <w:p w14:paraId="0000004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4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Development of the KCCB Child Safeguarding Policy and training manual.</w:t>
      </w:r>
    </w:p>
    <w:p w14:paraId="0000004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4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6 - 0.03% Coverage</w:t>
      </w:r>
    </w:p>
    <w:p w14:paraId="0000004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4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Drafting of the Nairobi County GBV Control and Management Bill.</w:t>
      </w:r>
    </w:p>
    <w:p w14:paraId="0000004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4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4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7 - 0.05% Coverage</w:t>
      </w:r>
    </w:p>
    <w:p w14:paraId="0000004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4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Kenya adopted National Guidelines for School Re-entry (2020) and standard operating procedures for SGBV reporting.</w:t>
      </w:r>
    </w:p>
    <w:p w14:paraId="0000004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4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8 - 0.04% Coverage</w:t>
      </w:r>
    </w:p>
    <w:p w14:paraId="0000004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5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Zambia an</w:t>
      </w:r>
      <w:r>
        <w:rPr>
          <w:sz w:val="22"/>
          <w:szCs w:val="22"/>
        </w:rPr>
        <w:t>d Malawi operationalized re-entry policies through awareness and monitoring systems.</w:t>
      </w:r>
    </w:p>
    <w:p w14:paraId="0000005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5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5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9 - 0.06% Coverage</w:t>
      </w:r>
    </w:p>
    <w:p w14:paraId="0000005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5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lastRenderedPageBreak/>
        <w:t xml:space="preserve"> Tanzania lifted bans on re-entry for teenage mothers.</w:t>
      </w:r>
    </w:p>
    <w:p w14:paraId="0000005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Uganda and Ethiopia integrated SRGBV into education curricula and teacher trainin</w:t>
      </w:r>
      <w:r>
        <w:rPr>
          <w:sz w:val="22"/>
          <w:szCs w:val="22"/>
        </w:rPr>
        <w:t>g.</w:t>
      </w:r>
    </w:p>
    <w:p w14:paraId="0000005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5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sz w:val="20"/>
          <w:szCs w:val="20"/>
        </w:rPr>
      </w:pPr>
    </w:p>
    <w:p w14:paraId="0000005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yellow"/>
        </w:rPr>
      </w:pPr>
      <w:r>
        <w:rPr>
          <w:sz w:val="28"/>
          <w:szCs w:val="28"/>
          <w:highlight w:val="yellow"/>
        </w:rPr>
        <w:t>Theme 3: Institutional Capacity Building &amp; Systems Strengthening</w:t>
      </w:r>
    </w:p>
    <w:p w14:paraId="0000005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5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6 references </w:t>
      </w:r>
      <w:proofErr w:type="gramStart"/>
      <w:r>
        <w:rPr>
          <w:sz w:val="22"/>
          <w:szCs w:val="22"/>
          <w:shd w:val="clear" w:color="auto" w:fill="D3D3D3"/>
        </w:rPr>
        <w:t>coded  [</w:t>
      </w:r>
      <w:proofErr w:type="gramEnd"/>
      <w:r>
        <w:rPr>
          <w:sz w:val="22"/>
          <w:szCs w:val="22"/>
          <w:shd w:val="clear" w:color="auto" w:fill="D3D3D3"/>
        </w:rPr>
        <w:t>0.16% Coverage]</w:t>
      </w:r>
    </w:p>
    <w:p w14:paraId="0000005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5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1 - 0.03% Coverage</w:t>
      </w:r>
    </w:p>
    <w:p w14:paraId="0000005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5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Gender mainstreaming in TVET, teacher training, and research.</w:t>
      </w:r>
    </w:p>
    <w:p w14:paraId="0000006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6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6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2 - 0.02% Coverage</w:t>
      </w:r>
    </w:p>
    <w:p w14:paraId="0000006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6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affirmative action in scholarships and staffing.</w:t>
      </w:r>
    </w:p>
    <w:p w14:paraId="0000006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w:t>
      </w:r>
    </w:p>
    <w:p w14:paraId="0000006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6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3 - 0.03% Coverage</w:t>
      </w:r>
    </w:p>
    <w:p w14:paraId="0000006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6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workshops with teachers and clergy on reporting abuse cases.</w:t>
      </w:r>
    </w:p>
    <w:p w14:paraId="0000006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6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6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4 - 0.03% Coverage</w:t>
      </w:r>
    </w:p>
    <w:p w14:paraId="0000006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6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engagement of Leadership Coaches and Program Of</w:t>
      </w:r>
      <w:r>
        <w:rPr>
          <w:sz w:val="22"/>
          <w:szCs w:val="22"/>
        </w:rPr>
        <w:t>ficers to support interventions.</w:t>
      </w:r>
    </w:p>
    <w:p w14:paraId="0000006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7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7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5 - 0.03% Coverage</w:t>
      </w:r>
    </w:p>
    <w:p w14:paraId="0000007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7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Incorporation of SRGBV modules in teacher pre-/in-service training.</w:t>
      </w:r>
    </w:p>
    <w:p w14:paraId="0000007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75"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7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6 - 0.02% Coverage</w:t>
      </w:r>
    </w:p>
    <w:p w14:paraId="0000007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7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Trainings and workshops held across 20 counties</w:t>
      </w:r>
    </w:p>
    <w:p w14:paraId="0000007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7A" w14:textId="77777777" w:rsidR="001F3CC6" w:rsidRDefault="00B20886">
      <w:pPr>
        <w:numPr>
          <w:ilvl w:val="0"/>
          <w:numId w:val="2"/>
        </w:num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red"/>
        </w:rPr>
      </w:pPr>
      <w:r>
        <w:rPr>
          <w:sz w:val="28"/>
          <w:szCs w:val="28"/>
          <w:highlight w:val="red"/>
        </w:rPr>
        <w:t>INTERVENTIONS AND RESPONSE</w:t>
      </w:r>
    </w:p>
    <w:p w14:paraId="0000007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7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yellow"/>
        </w:rPr>
      </w:pPr>
      <w:r>
        <w:rPr>
          <w:sz w:val="28"/>
          <w:szCs w:val="28"/>
          <w:highlight w:val="yellow"/>
        </w:rPr>
        <w:t>Theme 1: School-Level Prevention &amp; Response Mechanisms</w:t>
      </w:r>
    </w:p>
    <w:p w14:paraId="0000007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7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14 references </w:t>
      </w:r>
      <w:proofErr w:type="gramStart"/>
      <w:r>
        <w:rPr>
          <w:sz w:val="22"/>
          <w:szCs w:val="22"/>
          <w:shd w:val="clear" w:color="auto" w:fill="D3D3D3"/>
        </w:rPr>
        <w:t>coded  [</w:t>
      </w:r>
      <w:proofErr w:type="gramEnd"/>
      <w:r>
        <w:rPr>
          <w:sz w:val="22"/>
          <w:szCs w:val="22"/>
          <w:shd w:val="clear" w:color="auto" w:fill="D3D3D3"/>
        </w:rPr>
        <w:t>0.51% Coverage]</w:t>
      </w:r>
    </w:p>
    <w:p w14:paraId="0000007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8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1 - 0.04% Coverage</w:t>
      </w:r>
    </w:p>
    <w:p w14:paraId="0000008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8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USAID Safe Schools Project — combined community counselling, school-based awaren</w:t>
      </w:r>
      <w:r>
        <w:rPr>
          <w:sz w:val="22"/>
          <w:szCs w:val="22"/>
        </w:rPr>
        <w:t>ess, and child helplines.</w:t>
      </w:r>
    </w:p>
    <w:p w14:paraId="0000008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lastRenderedPageBreak/>
        <w:t xml:space="preserve"> </w:t>
      </w:r>
    </w:p>
    <w:p w14:paraId="0000008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8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2 - 0.04% Coverage</w:t>
      </w:r>
    </w:p>
    <w:p w14:paraId="0000008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8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ActionAid “Stop Violence Against Girls” Project (Ghana, Kenya, Mozambique) — used girls’ clubs, teacher training, an</w:t>
      </w:r>
    </w:p>
    <w:p w14:paraId="0000008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8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3 - 0.02% Coverage</w:t>
      </w:r>
    </w:p>
    <w:p w14:paraId="0000008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8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roofErr w:type="spellStart"/>
      <w:r>
        <w:rPr>
          <w:sz w:val="22"/>
          <w:szCs w:val="22"/>
        </w:rPr>
        <w:t>riculum</w:t>
      </w:r>
      <w:proofErr w:type="spellEnd"/>
      <w:r>
        <w:rPr>
          <w:sz w:val="22"/>
          <w:szCs w:val="22"/>
        </w:rPr>
        <w:t xml:space="preserve"> reform and digital attendance systems in 2,400 schools.</w:t>
      </w:r>
    </w:p>
    <w:p w14:paraId="0000008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A</w:t>
      </w:r>
    </w:p>
    <w:p w14:paraId="0000008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8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4 - 0.03% Coverage</w:t>
      </w:r>
    </w:p>
    <w:p w14:paraId="0000008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9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Deployed Speak Up Boxes in schools within the Let’s Girls Thrive Program</w:t>
      </w:r>
    </w:p>
    <w:p w14:paraId="0000009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9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5 - 0.04% Coverage</w:t>
      </w:r>
    </w:p>
    <w:p w14:paraId="0000009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9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Teachers and fellows actively identifying and re</w:t>
      </w:r>
      <w:r>
        <w:rPr>
          <w:sz w:val="22"/>
          <w:szCs w:val="22"/>
        </w:rPr>
        <w:t>porting abuse cases to child protection offices.</w:t>
      </w:r>
    </w:p>
    <w:p w14:paraId="00000095"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9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9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6 - 0.12% Coverage</w:t>
      </w:r>
    </w:p>
    <w:p w14:paraId="0000009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9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Implementation in 10 partner schools in Nairobi (</w:t>
      </w:r>
      <w:proofErr w:type="spellStart"/>
      <w:r>
        <w:rPr>
          <w:sz w:val="22"/>
          <w:szCs w:val="22"/>
        </w:rPr>
        <w:t>Kasarani</w:t>
      </w:r>
      <w:proofErr w:type="spellEnd"/>
      <w:r>
        <w:rPr>
          <w:sz w:val="22"/>
          <w:szCs w:val="22"/>
        </w:rPr>
        <w:t>, Embakasi) and Kisumu (Central, East).</w:t>
      </w:r>
    </w:p>
    <w:p w14:paraId="0000009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Conducted gender-responsive classroom sessions and mentorship activities.</w:t>
      </w:r>
    </w:p>
    <w:p w14:paraId="0000009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Established Child Rights Clubs and installed Talk Boxes for anonymous reporting.</w:t>
      </w:r>
    </w:p>
    <w:p w14:paraId="0000009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9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9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7 - 0.04% Coverage</w:t>
      </w:r>
    </w:p>
    <w:p w14:paraId="0000009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A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built support networks for GBV survivors and advocacy channels within schools.</w:t>
      </w:r>
    </w:p>
    <w:p w14:paraId="000000A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A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8 - 0.03% Coverage</w:t>
      </w:r>
    </w:p>
    <w:p w14:paraId="000000A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A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School-based girls’ clubs (Ghana, Kenya, Mozambique)</w:t>
      </w:r>
    </w:p>
    <w:p w14:paraId="000000A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A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A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9 - 0.03% Coverage</w:t>
      </w:r>
    </w:p>
    <w:p w14:paraId="000000A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A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Creation of school management committees (SMCs) with gender balance.</w:t>
      </w:r>
    </w:p>
    <w:p w14:paraId="000000A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A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A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10 - 0.01% Coverage</w:t>
      </w:r>
    </w:p>
    <w:p w14:paraId="000000A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A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A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B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11 - 0.03% Coverage</w:t>
      </w:r>
    </w:p>
    <w:p w14:paraId="000000B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B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roofErr w:type="spellStart"/>
      <w:r>
        <w:rPr>
          <w:sz w:val="22"/>
          <w:szCs w:val="22"/>
        </w:rPr>
        <w:lastRenderedPageBreak/>
        <w:t>evelopment</w:t>
      </w:r>
      <w:proofErr w:type="spellEnd"/>
      <w:r>
        <w:rPr>
          <w:sz w:val="22"/>
          <w:szCs w:val="22"/>
        </w:rPr>
        <w:t xml:space="preserve"> of school-specific </w:t>
      </w:r>
      <w:r>
        <w:rPr>
          <w:sz w:val="22"/>
          <w:szCs w:val="22"/>
        </w:rPr>
        <w:t>“zero tolerance” plans and codes of conduct.</w:t>
      </w:r>
    </w:p>
    <w:p w14:paraId="000000B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w:t>
      </w:r>
    </w:p>
    <w:p w14:paraId="000000B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B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12 - 0.04% Coverage</w:t>
      </w:r>
    </w:p>
    <w:p w14:paraId="000000B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B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STEM: 40 schools reached, 15,000 students and 529 teachers trained on digital and AI skills; mentorship and role model sessions held.</w:t>
      </w:r>
    </w:p>
    <w:p w14:paraId="000000B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B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13 - 0.03% Coverage</w:t>
      </w:r>
    </w:p>
    <w:p w14:paraId="000000B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B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roofErr w:type="spellStart"/>
      <w:r>
        <w:rPr>
          <w:sz w:val="22"/>
          <w:szCs w:val="22"/>
        </w:rPr>
        <w:t>Tuseme</w:t>
      </w:r>
      <w:proofErr w:type="spellEnd"/>
      <w:r>
        <w:rPr>
          <w:sz w:val="22"/>
          <w:szCs w:val="22"/>
        </w:rPr>
        <w:t xml:space="preserve">: Clubs launched in 9 </w:t>
      </w:r>
      <w:proofErr w:type="spellStart"/>
      <w:r>
        <w:rPr>
          <w:sz w:val="22"/>
          <w:szCs w:val="22"/>
        </w:rPr>
        <w:t>Kajiado</w:t>
      </w:r>
      <w:proofErr w:type="spellEnd"/>
      <w:r>
        <w:rPr>
          <w:sz w:val="22"/>
          <w:szCs w:val="22"/>
        </w:rPr>
        <w:t xml:space="preserve"> schools; peer dialogue and advocacy on gender and education barriers.</w:t>
      </w:r>
    </w:p>
    <w:p w14:paraId="000000B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B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B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14 - 0.03% Coverage</w:t>
      </w:r>
    </w:p>
    <w:p w14:paraId="000000B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C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mentorship programs in schools through </w:t>
      </w:r>
      <w:proofErr w:type="spellStart"/>
      <w:r>
        <w:rPr>
          <w:sz w:val="22"/>
          <w:szCs w:val="22"/>
        </w:rPr>
        <w:t>Tuseme</w:t>
      </w:r>
      <w:proofErr w:type="spellEnd"/>
      <w:r>
        <w:rPr>
          <w:sz w:val="22"/>
          <w:szCs w:val="22"/>
        </w:rPr>
        <w:t xml:space="preserve"> clubs and local partnerships.</w:t>
      </w:r>
    </w:p>
    <w:p w14:paraId="000000C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C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yellow"/>
        </w:rPr>
      </w:pPr>
      <w:r>
        <w:rPr>
          <w:sz w:val="28"/>
          <w:szCs w:val="28"/>
          <w:highlight w:val="yellow"/>
        </w:rPr>
        <w:t>Theme 2: Reporting, referral and response mechanisms</w:t>
      </w:r>
    </w:p>
    <w:p w14:paraId="000000C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C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8 references </w:t>
      </w:r>
      <w:proofErr w:type="gramStart"/>
      <w:r>
        <w:rPr>
          <w:sz w:val="22"/>
          <w:szCs w:val="22"/>
          <w:shd w:val="clear" w:color="auto" w:fill="D3D3D3"/>
        </w:rPr>
        <w:t>coded  [</w:t>
      </w:r>
      <w:proofErr w:type="gramEnd"/>
      <w:r>
        <w:rPr>
          <w:sz w:val="22"/>
          <w:szCs w:val="22"/>
          <w:shd w:val="clear" w:color="auto" w:fill="D3D3D3"/>
        </w:rPr>
        <w:t>0.28% Coverage]</w:t>
      </w:r>
    </w:p>
    <w:p w14:paraId="000000C5"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C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1 - 0.02% Coverage</w:t>
      </w:r>
    </w:p>
    <w:p w14:paraId="000000C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C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protection hotlines and information systems in 15 counties.</w:t>
      </w:r>
    </w:p>
    <w:p w14:paraId="000000C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C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C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2 - 0.04%</w:t>
      </w:r>
      <w:r>
        <w:rPr>
          <w:sz w:val="22"/>
          <w:szCs w:val="22"/>
          <w:shd w:val="clear" w:color="auto" w:fill="D3D3D3"/>
        </w:rPr>
        <w:t xml:space="preserve"> Coverage</w:t>
      </w:r>
    </w:p>
    <w:p w14:paraId="000000C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C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strengthening linkages with national helplines and referral systems.</w:t>
      </w:r>
    </w:p>
    <w:p w14:paraId="000000C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C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D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3 - 0.03% Coverage</w:t>
      </w:r>
    </w:p>
    <w:p w14:paraId="000000D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D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Stakeholder mapping of GBV reporting mechanisms and service providers.</w:t>
      </w:r>
    </w:p>
    <w:p w14:paraId="000000D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D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D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4 - 0.04% Coverage</w:t>
      </w:r>
    </w:p>
    <w:p w14:paraId="000000D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D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Action plans emphasizing community awareness campaigns, psychosocial support, and case follow-up.</w:t>
      </w:r>
    </w:p>
    <w:p w14:paraId="000000D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D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D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5 - 0.03% Coverage</w:t>
      </w:r>
    </w:p>
    <w:p w14:paraId="000000D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D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strengthening linkages with health and justice systems for survivor referrals.</w:t>
      </w:r>
    </w:p>
    <w:p w14:paraId="000000D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D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6 - 0.04% Coverage</w:t>
      </w:r>
    </w:p>
    <w:p w14:paraId="000000D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E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Established C</w:t>
      </w:r>
      <w:r>
        <w:rPr>
          <w:sz w:val="22"/>
          <w:szCs w:val="22"/>
        </w:rPr>
        <w:t>hild Rights Clubs and installed Talk Boxes for anonymous reporting.</w:t>
      </w:r>
    </w:p>
    <w:p w14:paraId="000000E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E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7 - 0.04% Coverage</w:t>
      </w:r>
    </w:p>
    <w:p w14:paraId="000000E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E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Partnered with community leaders and gender desks for case follow-up and referrals.</w:t>
      </w:r>
    </w:p>
    <w:p w14:paraId="000000E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0E7"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8 - 0.04% Coverage</w:t>
      </w:r>
    </w:p>
    <w:p w14:paraId="000000E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E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built support networks for GBV surviv</w:t>
      </w:r>
      <w:r>
        <w:rPr>
          <w:sz w:val="22"/>
          <w:szCs w:val="22"/>
        </w:rPr>
        <w:t>ors and advocacy channels within schools.</w:t>
      </w:r>
    </w:p>
    <w:p w14:paraId="000000E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EF" w14:textId="77777777" w:rsidR="001F3CC6" w:rsidRDefault="00B20886">
      <w:pPr>
        <w:numPr>
          <w:ilvl w:val="0"/>
          <w:numId w:val="3"/>
        </w:num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yellow"/>
        </w:rPr>
      </w:pPr>
      <w:r>
        <w:rPr>
          <w:sz w:val="28"/>
          <w:szCs w:val="28"/>
          <w:highlight w:val="yellow"/>
        </w:rPr>
        <w:t>Theme 6: Research, Advocacy &amp; Civil Society Action</w:t>
      </w:r>
    </w:p>
    <w:p w14:paraId="000000F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F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 xml:space="preserve">&lt;Files\\SRGBV Policy Review BEFORE CODING (2)&gt; - § 13 references </w:t>
      </w:r>
      <w:proofErr w:type="gramStart"/>
      <w:r>
        <w:rPr>
          <w:sz w:val="22"/>
          <w:szCs w:val="22"/>
          <w:shd w:val="clear" w:color="auto" w:fill="D3D3D3"/>
        </w:rPr>
        <w:t>coded  [</w:t>
      </w:r>
      <w:proofErr w:type="gramEnd"/>
      <w:r>
        <w:rPr>
          <w:sz w:val="22"/>
          <w:szCs w:val="22"/>
          <w:shd w:val="clear" w:color="auto" w:fill="D3D3D3"/>
        </w:rPr>
        <w:t>0.95% Coverage]</w:t>
      </w:r>
    </w:p>
    <w:p w14:paraId="000000F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F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1 - 0.03% Coverage</w:t>
      </w:r>
    </w:p>
    <w:p w14:paraId="000000F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F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integration of GBV data into KDHS 2022.</w:t>
      </w:r>
    </w:p>
    <w:p w14:paraId="000000F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F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2 - 0.19% Coverage</w:t>
      </w:r>
    </w:p>
    <w:p w14:paraId="000000F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F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The report notes that following the 2019 findings, a multi-sectoral technical working group led by the Department of Children’s Services developed a National Prevention and Response Pl</w:t>
      </w:r>
      <w:r>
        <w:rPr>
          <w:sz w:val="22"/>
          <w:szCs w:val="22"/>
        </w:rPr>
        <w:t>an (2020–2024) to operationalize survey results. It also highlights ongoing integration of VACS data into policy reviews, child protection information systems, and county-level planning.</w:t>
      </w:r>
    </w:p>
    <w:p w14:paraId="000000F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F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3 - 0.19% Coverage</w:t>
      </w:r>
    </w:p>
    <w:p w14:paraId="000000F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0F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The factsheet itself does not report o</w:t>
      </w:r>
      <w:r>
        <w:rPr>
          <w:sz w:val="22"/>
          <w:szCs w:val="22"/>
        </w:rPr>
        <w:t>n actual programs implemented; it refers to how the data are used (for informing policy, advocacy, programming) by stakeholders.</w:t>
      </w:r>
    </w:p>
    <w:p w14:paraId="000000F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0F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4 - 0.04% Coverage</w:t>
      </w:r>
    </w:p>
    <w:p w14:paraId="0000010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0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Kenya undertook its second VACS during 2018-2019, with government leadership. </w:t>
      </w:r>
    </w:p>
    <w:p w14:paraId="00000102"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0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5 - 0.15% Coverage</w:t>
      </w:r>
    </w:p>
    <w:p w14:paraId="0000010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0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VACS findings were used to inform the National Prevention and Response Plan on Violence Against Children (2019-2023). </w:t>
      </w:r>
    </w:p>
    <w:p w14:paraId="00000106"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10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Data dissemination via the stakeholder report, country webpages, and “Data to Action” processes that </w:t>
      </w:r>
      <w:r>
        <w:rPr>
          <w:sz w:val="22"/>
          <w:szCs w:val="22"/>
        </w:rPr>
        <w:t>bring stakeholders together to interpret the data and plan responses.</w:t>
      </w:r>
    </w:p>
    <w:p w14:paraId="0000010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0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6 - 0.05% Coverage</w:t>
      </w:r>
    </w:p>
    <w:p w14:paraId="0000010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0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0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Policy review every five years and continuous M&amp;E by Directorate of Policy, Partnerships, and EAC Affairs.</w:t>
      </w:r>
    </w:p>
    <w:p w14:paraId="0000010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0E"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7 - 0.02% Coverage</w:t>
      </w:r>
    </w:p>
    <w:p w14:paraId="0000010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10"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Real-Time M</w:t>
      </w:r>
      <w:r>
        <w:rPr>
          <w:sz w:val="22"/>
          <w:szCs w:val="22"/>
        </w:rPr>
        <w:t>onitoring (RTM) systems and dashboards in health.</w:t>
      </w:r>
    </w:p>
    <w:p w14:paraId="00000111"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1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8 - 0.04% Coverage</w:t>
      </w:r>
    </w:p>
    <w:p w14:paraId="00000113"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14"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conduct of case studies in Eastleigh to gather evidence on girls’ experiences of SGBV.</w:t>
      </w:r>
    </w:p>
    <w:p w14:paraId="0000011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11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1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9 - 0.05% Coverage</w:t>
      </w:r>
    </w:p>
    <w:p w14:paraId="00000118"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19"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use of data and research (e.g., McGovern 2021; refugee</w:t>
      </w:r>
      <w:r>
        <w:rPr>
          <w:sz w:val="22"/>
          <w:szCs w:val="22"/>
        </w:rPr>
        <w:t xml:space="preserve"> integration reports) to support advocacy.</w:t>
      </w:r>
    </w:p>
    <w:p w14:paraId="0000011A"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1B"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10 - 0.05% Coverage</w:t>
      </w:r>
    </w:p>
    <w:p w14:paraId="0000011C"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1D"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governments shared progress through GPE KIX and UNGEI forums, embedding SRGBV responses into national education sector plans.</w:t>
      </w:r>
    </w:p>
    <w:p w14:paraId="0000011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1F"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11 - 0.07% Coverage</w:t>
      </w:r>
    </w:p>
    <w:p w14:paraId="00000120"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21"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Stakeholder mapping of GBV reporting mechanisms and service providers.</w:t>
      </w:r>
    </w:p>
    <w:p w14:paraId="00000122"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 Identification of common GBV cases (sexual, physical, psychological, economic).</w:t>
      </w:r>
    </w:p>
    <w:p w14:paraId="00000123"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124"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25"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12 - 0.03% Coverage</w:t>
      </w:r>
    </w:p>
    <w:p w14:paraId="00000126"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27"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Integration of SRGBV indicators into EMIS and annual school censu</w:t>
      </w:r>
      <w:r>
        <w:rPr>
          <w:sz w:val="22"/>
          <w:szCs w:val="22"/>
        </w:rPr>
        <w:t>s.</w:t>
      </w:r>
    </w:p>
    <w:p w14:paraId="00000128"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 xml:space="preserve"> </w:t>
      </w:r>
    </w:p>
    <w:p w14:paraId="00000129"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2A"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r>
        <w:rPr>
          <w:sz w:val="22"/>
          <w:szCs w:val="22"/>
          <w:shd w:val="clear" w:color="auto" w:fill="D3D3D3"/>
        </w:rPr>
        <w:t>Reference 13 - 0.03% Coverage</w:t>
      </w:r>
    </w:p>
    <w:p w14:paraId="0000012B"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shd w:val="clear" w:color="auto" w:fill="D3D3D3"/>
        </w:rPr>
      </w:pPr>
    </w:p>
    <w:p w14:paraId="0000012C" w14:textId="77777777" w:rsidR="001F3CC6" w:rsidRDefault="00B2088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r>
        <w:rPr>
          <w:sz w:val="22"/>
          <w:szCs w:val="22"/>
        </w:rPr>
        <w:t>Monitoring of prevalence, drivers, and outcomes through data collection frameworks.</w:t>
      </w:r>
    </w:p>
    <w:p w14:paraId="0000012D"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2E"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2F" w14:textId="77777777" w:rsidR="001F3CC6" w:rsidRDefault="001F3CC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2"/>
          <w:szCs w:val="22"/>
        </w:rPr>
      </w:pPr>
    </w:p>
    <w:p w14:paraId="00000130" w14:textId="77777777" w:rsidR="001F3CC6" w:rsidRDefault="00B20886">
      <w:pPr>
        <w:numPr>
          <w:ilvl w:val="0"/>
          <w:numId w:val="1"/>
        </w:num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red"/>
        </w:rPr>
      </w:pPr>
      <w:r>
        <w:rPr>
          <w:sz w:val="28"/>
          <w:szCs w:val="28"/>
          <w:highlight w:val="red"/>
        </w:rPr>
        <w:t>ACCOUNTABILITY AND ENABLING ENVIRONMENT</w:t>
      </w:r>
    </w:p>
    <w:p w14:paraId="00000131"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sz w:val="28"/>
          <w:szCs w:val="28"/>
          <w:highlight w:val="red"/>
        </w:rPr>
      </w:pPr>
    </w:p>
    <w:p w14:paraId="00000132"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shd w:val="clear" w:color="auto" w:fill="D3D3D3"/>
        </w:rPr>
      </w:pPr>
      <w:r>
        <w:rPr>
          <w:sz w:val="28"/>
          <w:szCs w:val="28"/>
          <w:highlight w:val="yellow"/>
        </w:rPr>
        <w:t>Theme 1</w:t>
      </w:r>
      <w:r>
        <w:rPr>
          <w:color w:val="000000"/>
          <w:sz w:val="28"/>
          <w:szCs w:val="28"/>
          <w:highlight w:val="yellow"/>
        </w:rPr>
        <w:t>: Community &amp; Cross-Sectoral Engagement</w:t>
      </w:r>
    </w:p>
    <w:p w14:paraId="00000133"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4"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 xml:space="preserve">&lt;Files\\SRGBV Policy Review BEFORE CODING (2)&gt; - § 13 references </w:t>
      </w:r>
      <w:proofErr w:type="gramStart"/>
      <w:r>
        <w:rPr>
          <w:color w:val="000000"/>
          <w:sz w:val="22"/>
          <w:szCs w:val="22"/>
          <w:shd w:val="clear" w:color="auto" w:fill="D3D3D3"/>
        </w:rPr>
        <w:t>coded  [</w:t>
      </w:r>
      <w:proofErr w:type="gramEnd"/>
      <w:r>
        <w:rPr>
          <w:color w:val="000000"/>
          <w:sz w:val="22"/>
          <w:szCs w:val="22"/>
          <w:shd w:val="clear" w:color="auto" w:fill="D3D3D3"/>
        </w:rPr>
        <w:t>0.49% Coverage]</w:t>
      </w:r>
    </w:p>
    <w:p w14:paraId="00000135"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6"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1 - 0.01% Coverage</w:t>
      </w:r>
    </w:p>
    <w:p w14:paraId="00000137"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8"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Community dialogues.</w:t>
      </w:r>
    </w:p>
    <w:p w14:paraId="00000139"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3A"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B"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2 - 0.05% Coverage</w:t>
      </w:r>
    </w:p>
    <w:p w14:paraId="0000013C"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D"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Mother’s Clubs in West and Central Africa — community support, monitoring attendance, and income generation for girls’ education.</w:t>
      </w:r>
    </w:p>
    <w:p w14:paraId="0000013E"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F"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3 - 0.02% Coverage</w:t>
      </w:r>
    </w:p>
    <w:p w14:paraId="00000140"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1"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Conditional cash transfers in Kakamega (</w:t>
      </w:r>
      <w:proofErr w:type="spellStart"/>
      <w:r>
        <w:rPr>
          <w:color w:val="000000"/>
          <w:sz w:val="22"/>
          <w:szCs w:val="22"/>
        </w:rPr>
        <w:t>Imarisha</w:t>
      </w:r>
      <w:proofErr w:type="spellEnd"/>
      <w:r>
        <w:rPr>
          <w:color w:val="000000"/>
          <w:sz w:val="22"/>
          <w:szCs w:val="22"/>
        </w:rPr>
        <w:t xml:space="preserve"> </w:t>
      </w:r>
      <w:proofErr w:type="spellStart"/>
      <w:r>
        <w:rPr>
          <w:color w:val="000000"/>
          <w:sz w:val="22"/>
          <w:szCs w:val="22"/>
        </w:rPr>
        <w:t>Afya</w:t>
      </w:r>
      <w:proofErr w:type="spellEnd"/>
      <w:r>
        <w:rPr>
          <w:color w:val="000000"/>
          <w:sz w:val="22"/>
          <w:szCs w:val="22"/>
        </w:rPr>
        <w:t>).</w:t>
      </w:r>
    </w:p>
    <w:p w14:paraId="00000142"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3"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4"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4 - 0.04% Coverage</w:t>
      </w:r>
    </w:p>
    <w:p w14:paraId="00000145"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6"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Scaling up Vitamin A supplementation and breastfeeding programs.</w:t>
      </w:r>
    </w:p>
    <w:p w14:paraId="00000147"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- 6,700 communities certified Open Defecation Free (ODF).</w:t>
      </w:r>
    </w:p>
    <w:p w14:paraId="00000148"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49"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A"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5 - 0.05% Coverage</w:t>
      </w:r>
    </w:p>
    <w:p w14:paraId="0000014B"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C"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roofErr w:type="spellStart"/>
      <w:r>
        <w:rPr>
          <w:color w:val="000000"/>
          <w:sz w:val="22"/>
          <w:szCs w:val="22"/>
        </w:rPr>
        <w:t>gagement</w:t>
      </w:r>
      <w:proofErr w:type="spellEnd"/>
      <w:r>
        <w:rPr>
          <w:color w:val="000000"/>
          <w:sz w:val="22"/>
          <w:szCs w:val="22"/>
        </w:rPr>
        <w:t xml:space="preserve"> of parents and communities through church structures for advocacy and sensitization.</w:t>
      </w:r>
    </w:p>
    <w:p w14:paraId="0000014D"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E"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w:t>
      </w:r>
      <w:r>
        <w:rPr>
          <w:color w:val="000000"/>
          <w:sz w:val="22"/>
          <w:szCs w:val="22"/>
          <w:shd w:val="clear" w:color="auto" w:fill="D3D3D3"/>
        </w:rPr>
        <w:t>ference 6 - 0.03% Coverage</w:t>
      </w:r>
    </w:p>
    <w:p w14:paraId="0000014F"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0"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Convenings held with stakeholders (</w:t>
      </w:r>
      <w:proofErr w:type="spellStart"/>
      <w:r>
        <w:rPr>
          <w:color w:val="000000"/>
          <w:sz w:val="22"/>
          <w:szCs w:val="22"/>
        </w:rPr>
        <w:t>MoE</w:t>
      </w:r>
      <w:proofErr w:type="spellEnd"/>
      <w:r>
        <w:rPr>
          <w:color w:val="000000"/>
          <w:sz w:val="22"/>
          <w:szCs w:val="22"/>
        </w:rPr>
        <w:t>, Gender Department, CSOs).</w:t>
      </w:r>
    </w:p>
    <w:p w14:paraId="00000151"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2"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7 - 0.03% Coverage</w:t>
      </w:r>
    </w:p>
    <w:p w14:paraId="00000153"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4"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Development of an advocacy strategy – “Keep Her Safe.”</w:t>
      </w:r>
    </w:p>
    <w:p w14:paraId="00000155"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6"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7"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8 - 0.03% Coverage</w:t>
      </w:r>
    </w:p>
    <w:p w14:paraId="00000158"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9"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sz w:val="22"/>
          <w:szCs w:val="22"/>
        </w:rPr>
        <w:t>community</w:t>
      </w:r>
      <w:r>
        <w:rPr>
          <w:color w:val="000000"/>
          <w:sz w:val="22"/>
          <w:szCs w:val="22"/>
        </w:rPr>
        <w:t xml:space="preserve"> outreach and awareness through</w:t>
      </w:r>
      <w:r>
        <w:rPr>
          <w:color w:val="000000"/>
          <w:sz w:val="22"/>
          <w:szCs w:val="22"/>
        </w:rPr>
        <w:t xml:space="preserve"> Teach for Kenya’s advocacy platform.</w:t>
      </w:r>
    </w:p>
    <w:p w14:paraId="0000015A"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B"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9 - 0.04% Coverage</w:t>
      </w:r>
    </w:p>
    <w:p w14:paraId="0000015C"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D"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Action plans emphasizing community awareness campaigns, psychosocial support, and case follow-up.</w:t>
      </w:r>
    </w:p>
    <w:p w14:paraId="0000015E"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5F"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0"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10 - 0.04% Coverage</w:t>
      </w:r>
    </w:p>
    <w:p w14:paraId="00000161"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2"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Partnered with community leaders and gender desks for case follow-up and referrals.</w:t>
      </w:r>
    </w:p>
    <w:p w14:paraId="00000163"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64"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5"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11 - 0.03% Coverage</w:t>
      </w:r>
    </w:p>
    <w:p w14:paraId="00000166"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7"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Policy review meetings with </w:t>
      </w:r>
      <w:proofErr w:type="spellStart"/>
      <w:r>
        <w:rPr>
          <w:color w:val="000000"/>
          <w:sz w:val="22"/>
          <w:szCs w:val="22"/>
        </w:rPr>
        <w:t>MoE</w:t>
      </w:r>
      <w:proofErr w:type="spellEnd"/>
      <w:r>
        <w:rPr>
          <w:color w:val="000000"/>
          <w:sz w:val="22"/>
          <w:szCs w:val="22"/>
        </w:rPr>
        <w:t xml:space="preserve"> and NACONEK on gender and education policy.</w:t>
      </w:r>
    </w:p>
    <w:p w14:paraId="00000168"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9"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A"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12 - 0.03% Coverage</w:t>
      </w:r>
    </w:p>
    <w:p w14:paraId="0000016B"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C"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Media partnerships with K</w:t>
      </w:r>
      <w:r>
        <w:rPr>
          <w:color w:val="000000"/>
          <w:sz w:val="22"/>
          <w:szCs w:val="22"/>
        </w:rPr>
        <w:t>TN, TV47, and regional radio stations for SRHR messaging.</w:t>
      </w:r>
    </w:p>
    <w:p w14:paraId="0000016D"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6E"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F"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13 - 0.09% Coverage</w:t>
      </w:r>
    </w:p>
    <w:p w14:paraId="00000170"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71"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Community dialogues under </w:t>
      </w:r>
      <w:proofErr w:type="spellStart"/>
      <w:r>
        <w:rPr>
          <w:color w:val="000000"/>
          <w:sz w:val="22"/>
          <w:szCs w:val="22"/>
        </w:rPr>
        <w:t>Tamatisha</w:t>
      </w:r>
      <w:proofErr w:type="spellEnd"/>
      <w:r>
        <w:rPr>
          <w:color w:val="000000"/>
          <w:sz w:val="22"/>
          <w:szCs w:val="22"/>
        </w:rPr>
        <w:t xml:space="preserve"> and </w:t>
      </w:r>
      <w:proofErr w:type="spellStart"/>
      <w:r>
        <w:rPr>
          <w:color w:val="000000"/>
          <w:sz w:val="22"/>
          <w:szCs w:val="22"/>
        </w:rPr>
        <w:t>Haki</w:t>
      </w:r>
      <w:proofErr w:type="spellEnd"/>
      <w:r>
        <w:rPr>
          <w:color w:val="000000"/>
          <w:sz w:val="22"/>
          <w:szCs w:val="22"/>
        </w:rPr>
        <w:t xml:space="preserve"> </w:t>
      </w:r>
      <w:proofErr w:type="spellStart"/>
      <w:r>
        <w:rPr>
          <w:color w:val="000000"/>
          <w:sz w:val="22"/>
          <w:szCs w:val="22"/>
        </w:rPr>
        <w:t>Yangu</w:t>
      </w:r>
      <w:proofErr w:type="spellEnd"/>
      <w:r>
        <w:rPr>
          <w:color w:val="000000"/>
          <w:sz w:val="22"/>
          <w:szCs w:val="22"/>
        </w:rPr>
        <w:t xml:space="preserve"> programs on GBV and cultural practices.</w:t>
      </w:r>
    </w:p>
    <w:p w14:paraId="00000172"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 Entrepreneurship and livelihood support for teenage mothers.</w:t>
      </w:r>
    </w:p>
    <w:p w14:paraId="00000173"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 Youth-led SRHR dialogues, webinars, and film screenings under Make Way.</w:t>
      </w:r>
    </w:p>
    <w:p w14:paraId="00000174"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75"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6"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7" w14:textId="77777777" w:rsidR="001F3CC6" w:rsidRDefault="00B2088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t>
      </w:r>
    </w:p>
    <w:p w14:paraId="00000178"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9"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A"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B"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C"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D"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rPr>
      </w:pPr>
    </w:p>
    <w:p w14:paraId="0000017E"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F"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80" w14:textId="77777777" w:rsidR="001F3CC6" w:rsidRDefault="001F3CC6">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81" w14:textId="77777777" w:rsidR="001F3CC6" w:rsidRDefault="001F3CC6"/>
    <w:sectPr w:rsidR="001F3CC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embedRegular r:id="rId1" w:fontKey="{F38BBE4E-432C-438E-8A57-4CD8E238B65D}"/>
    <w:embedBold r:id="rId2" w:fontKey="{EA436E4F-0E51-425C-927C-0700C2CAB0FA}"/>
    <w:embedItalic r:id="rId3" w:fontKey="{A6587F4A-7DFC-4C4D-ADE5-BE56EDEC83EA}"/>
  </w:font>
  <w:font w:name="Calibri Light">
    <w:panose1 w:val="020F0302020204030204"/>
    <w:charset w:val="00"/>
    <w:family w:val="swiss"/>
    <w:pitch w:val="variable"/>
    <w:sig w:usb0="E4002EFF" w:usb1="C200247B" w:usb2="00000009" w:usb3="00000000" w:csb0="000001FF" w:csb1="00000000"/>
    <w:embedRegular r:id="rId4" w:fontKey="{00896C1B-9B5A-4780-96AB-5E88B675BF77}"/>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embedRegular r:id="rId5" w:fontKey="{9A1F8BB5-B25E-4C80-98A6-5E62248BF09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2C24"/>
    <w:multiLevelType w:val="multilevel"/>
    <w:tmpl w:val="282A2C2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B10F2D"/>
    <w:multiLevelType w:val="multilevel"/>
    <w:tmpl w:val="E8CA4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04356D"/>
    <w:multiLevelType w:val="multilevel"/>
    <w:tmpl w:val="CE960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703CDD"/>
    <w:multiLevelType w:val="multilevel"/>
    <w:tmpl w:val="66BCD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CC6"/>
    <w:rsid w:val="001F3CC6"/>
    <w:rsid w:val="00B20886"/>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FD770-0E5D-4CB3-86CA-67784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 w:eastAsia="en-KE"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8D7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8D72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72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72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72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72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7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2CC"/>
    <w:rPr>
      <w:rFonts w:eastAsiaTheme="majorEastAsia" w:cstheme="majorBidi"/>
      <w:color w:val="272727" w:themeColor="text1" w:themeTint="D8"/>
    </w:rPr>
  </w:style>
  <w:style w:type="character" w:customStyle="1" w:styleId="TitleChar">
    <w:name w:val="Title Char"/>
    <w:basedOn w:val="DefaultParagraphFont"/>
    <w:link w:val="Title"/>
    <w:uiPriority w:val="10"/>
    <w:rsid w:val="008D72C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8D7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2CC"/>
    <w:pPr>
      <w:spacing w:before="160"/>
      <w:jc w:val="center"/>
    </w:pPr>
    <w:rPr>
      <w:i/>
      <w:iCs/>
      <w:color w:val="404040" w:themeColor="text1" w:themeTint="BF"/>
    </w:rPr>
  </w:style>
  <w:style w:type="character" w:customStyle="1" w:styleId="QuoteChar">
    <w:name w:val="Quote Char"/>
    <w:basedOn w:val="DefaultParagraphFont"/>
    <w:link w:val="Quote"/>
    <w:uiPriority w:val="29"/>
    <w:rsid w:val="008D72CC"/>
    <w:rPr>
      <w:i/>
      <w:iCs/>
      <w:color w:val="404040" w:themeColor="text1" w:themeTint="BF"/>
    </w:rPr>
  </w:style>
  <w:style w:type="paragraph" w:styleId="ListParagraph">
    <w:name w:val="List Paragraph"/>
    <w:basedOn w:val="Normal"/>
    <w:uiPriority w:val="34"/>
    <w:qFormat/>
    <w:rsid w:val="008D72CC"/>
    <w:pPr>
      <w:ind w:left="720"/>
      <w:contextualSpacing/>
    </w:pPr>
  </w:style>
  <w:style w:type="character" w:styleId="IntenseEmphasis">
    <w:name w:val="Intense Emphasis"/>
    <w:basedOn w:val="DefaultParagraphFont"/>
    <w:uiPriority w:val="21"/>
    <w:qFormat/>
    <w:rsid w:val="008D72CC"/>
    <w:rPr>
      <w:i/>
      <w:iCs/>
      <w:color w:val="2F5496" w:themeColor="accent1" w:themeShade="BF"/>
    </w:rPr>
  </w:style>
  <w:style w:type="paragraph" w:styleId="IntenseQuote">
    <w:name w:val="Intense Quote"/>
    <w:basedOn w:val="Normal"/>
    <w:next w:val="Normal"/>
    <w:link w:val="IntenseQuoteChar"/>
    <w:uiPriority w:val="30"/>
    <w:qFormat/>
    <w:rsid w:val="008D72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72CC"/>
    <w:rPr>
      <w:i/>
      <w:iCs/>
      <w:color w:val="2F5496" w:themeColor="accent1" w:themeShade="BF"/>
    </w:rPr>
  </w:style>
  <w:style w:type="character" w:styleId="IntenseReference">
    <w:name w:val="Intense Reference"/>
    <w:basedOn w:val="DefaultParagraphFont"/>
    <w:uiPriority w:val="32"/>
    <w:qFormat/>
    <w:rsid w:val="008D72CC"/>
    <w:rPr>
      <w:b/>
      <w:bCs/>
      <w:smallCaps/>
      <w:color w:val="2F5496" w:themeColor="accent1" w:themeShade="BF"/>
      <w:spacing w:val="5"/>
    </w:rPr>
  </w:style>
  <w:style w:type="paragraph" w:customStyle="1" w:styleId="Normal0">
    <w:name w:val="[Normal]"/>
    <w:qFormat/>
    <w:rsid w:val="008D72CC"/>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Arial" w:eastAsia="Arial" w:hAnsi="Arial" w:cs="Times New Roman"/>
      <w:szCs w:val="20"/>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j/3VE05twk5NbmqMLdX6ikcZ5w==">CgMxLjA4AHIhMV9Jcng4YnVqNVRsdThGVGpUZHh1XzhvbkpvX1hDdDVQ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Lucy Wakiaga</cp:lastModifiedBy>
  <cp:revision>2</cp:revision>
  <dcterms:created xsi:type="dcterms:W3CDTF">2026-07-01T15:26:00Z</dcterms:created>
  <dcterms:modified xsi:type="dcterms:W3CDTF">2026-07-01T15:26:00Z</dcterms:modified>
</cp:coreProperties>
</file>