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280" w:type="dxa"/>
        <w:tblLayout w:type="fixed"/>
        <w:tblCellMar>
          <w:top w:w="15" w:type="dxa"/>
          <w:left w:w="15" w:type="dxa"/>
          <w:bottom w:w="15" w:type="dxa"/>
          <w:right w:w="15" w:type="dxa"/>
        </w:tblCellMar>
        <w:tblLook w:val="04A0" w:firstRow="1" w:lastRow="0" w:firstColumn="1" w:lastColumn="0" w:noHBand="0" w:noVBand="1"/>
      </w:tblPr>
      <w:tblGrid>
        <w:gridCol w:w="900"/>
        <w:gridCol w:w="2700"/>
        <w:gridCol w:w="4680"/>
      </w:tblGrid>
      <w:tr w:rsidR="00E63744" w:rsidRPr="00E63744" w14:paraId="3DF03240" w14:textId="77777777" w:rsidTr="00D03527">
        <w:trPr>
          <w:tblHeader/>
        </w:trPr>
        <w:tc>
          <w:tcPr>
            <w:tcW w:w="900" w:type="dxa"/>
            <w:tcBorders>
              <w:top w:val="nil"/>
            </w:tcBorders>
            <w:tcMar>
              <w:top w:w="150" w:type="dxa"/>
              <w:left w:w="0" w:type="dxa"/>
              <w:bottom w:w="150" w:type="dxa"/>
              <w:right w:w="240" w:type="dxa"/>
            </w:tcMar>
            <w:vAlign w:val="center"/>
            <w:hideMark/>
          </w:tcPr>
          <w:p w14:paraId="5D38FC1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bookmarkStart w:id="0" w:name="_GoBack"/>
            <w:bookmarkEnd w:id="0"/>
            <w:r w:rsidRPr="00E63744">
              <w:rPr>
                <w:rFonts w:ascii="Segoe UI" w:eastAsia="Times New Roman" w:hAnsi="Segoe UI" w:cs="Segoe UI"/>
                <w:kern w:val="0"/>
                <w:sz w:val="23"/>
                <w:szCs w:val="23"/>
                <w14:ligatures w14:val="none"/>
              </w:rPr>
              <w:t>Year</w:t>
            </w:r>
          </w:p>
        </w:tc>
        <w:tc>
          <w:tcPr>
            <w:tcW w:w="2700" w:type="dxa"/>
            <w:tcBorders>
              <w:top w:val="nil"/>
            </w:tcBorders>
            <w:tcMar>
              <w:top w:w="150" w:type="dxa"/>
              <w:left w:w="240" w:type="dxa"/>
              <w:bottom w:w="150" w:type="dxa"/>
              <w:right w:w="240" w:type="dxa"/>
            </w:tcMar>
            <w:vAlign w:val="center"/>
            <w:hideMark/>
          </w:tcPr>
          <w:p w14:paraId="6E2B1B1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Type</w:t>
            </w:r>
          </w:p>
        </w:tc>
        <w:tc>
          <w:tcPr>
            <w:tcW w:w="4680" w:type="dxa"/>
            <w:tcBorders>
              <w:top w:val="nil"/>
            </w:tcBorders>
            <w:tcMar>
              <w:top w:w="150" w:type="dxa"/>
              <w:left w:w="240" w:type="dxa"/>
              <w:bottom w:w="150" w:type="dxa"/>
              <w:right w:w="240" w:type="dxa"/>
            </w:tcMar>
            <w:vAlign w:val="center"/>
            <w:hideMark/>
          </w:tcPr>
          <w:p w14:paraId="06BA8E4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Key Policy/Guideline Name (RQ1)</w:t>
            </w:r>
          </w:p>
        </w:tc>
      </w:tr>
      <w:tr w:rsidR="00E63744" w:rsidRPr="00E63744" w14:paraId="4468EE04" w14:textId="77777777" w:rsidTr="00D03527">
        <w:tc>
          <w:tcPr>
            <w:tcW w:w="900" w:type="dxa"/>
            <w:tcMar>
              <w:top w:w="150" w:type="dxa"/>
              <w:left w:w="0" w:type="dxa"/>
              <w:bottom w:w="150" w:type="dxa"/>
              <w:right w:w="240" w:type="dxa"/>
            </w:tcMar>
            <w:vAlign w:val="center"/>
            <w:hideMark/>
          </w:tcPr>
          <w:p w14:paraId="42C4848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2003</w:t>
            </w:r>
          </w:p>
        </w:tc>
        <w:tc>
          <w:tcPr>
            <w:tcW w:w="2700" w:type="dxa"/>
            <w:tcMar>
              <w:top w:w="150" w:type="dxa"/>
              <w:left w:w="240" w:type="dxa"/>
              <w:bottom w:w="150" w:type="dxa"/>
              <w:right w:w="240" w:type="dxa"/>
            </w:tcMar>
            <w:vAlign w:val="center"/>
            <w:hideMark/>
          </w:tcPr>
          <w:p w14:paraId="081D59F5"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Report</w:t>
            </w:r>
          </w:p>
        </w:tc>
        <w:tc>
          <w:tcPr>
            <w:tcW w:w="4680" w:type="dxa"/>
            <w:tcMar>
              <w:top w:w="150" w:type="dxa"/>
              <w:left w:w="240" w:type="dxa"/>
              <w:bottom w:w="150" w:type="dxa"/>
              <w:right w:w="0" w:type="dxa"/>
            </w:tcMar>
            <w:vAlign w:val="center"/>
            <w:hideMark/>
          </w:tcPr>
          <w:p w14:paraId="6910CBD7"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The report references The World Health </w:t>
            </w:r>
            <w:proofErr w:type="spellStart"/>
            <w:r w:rsidRPr="00E63744">
              <w:rPr>
                <w:rFonts w:ascii="Segoe UI" w:eastAsia="Times New Roman" w:hAnsi="Segoe UI" w:cs="Segoe UI"/>
                <w:kern w:val="0"/>
                <w:sz w:val="23"/>
                <w:szCs w:val="23"/>
                <w14:ligatures w14:val="none"/>
              </w:rPr>
              <w:t>Organisation’s</w:t>
            </w:r>
            <w:proofErr w:type="spellEnd"/>
            <w:r w:rsidRPr="00E63744">
              <w:rPr>
                <w:rFonts w:ascii="Segoe UI" w:eastAsia="Times New Roman" w:hAnsi="Segoe UI" w:cs="Segoe UI"/>
                <w:kern w:val="0"/>
                <w:sz w:val="23"/>
                <w:szCs w:val="23"/>
                <w14:ligatures w14:val="none"/>
              </w:rPr>
              <w:br/>
              <w:t>Global School Health Initiative of 2005</w:t>
            </w:r>
          </w:p>
        </w:tc>
      </w:tr>
      <w:tr w:rsidR="00E63744" w:rsidRPr="00E63744" w14:paraId="78FEAD6F" w14:textId="77777777" w:rsidTr="00D03527">
        <w:tc>
          <w:tcPr>
            <w:tcW w:w="900" w:type="dxa"/>
            <w:tcMar>
              <w:top w:w="150" w:type="dxa"/>
              <w:left w:w="0" w:type="dxa"/>
              <w:bottom w:w="150" w:type="dxa"/>
              <w:right w:w="240" w:type="dxa"/>
            </w:tcMar>
            <w:vAlign w:val="center"/>
            <w:hideMark/>
          </w:tcPr>
          <w:p w14:paraId="087FF36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2008</w:t>
            </w:r>
          </w:p>
        </w:tc>
        <w:tc>
          <w:tcPr>
            <w:tcW w:w="2700" w:type="dxa"/>
            <w:tcMar>
              <w:top w:w="150" w:type="dxa"/>
              <w:left w:w="240" w:type="dxa"/>
              <w:bottom w:w="150" w:type="dxa"/>
              <w:right w:w="240" w:type="dxa"/>
            </w:tcMar>
            <w:vAlign w:val="center"/>
            <w:hideMark/>
          </w:tcPr>
          <w:p w14:paraId="2FA9C27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Guideline/manual</w:t>
            </w:r>
          </w:p>
        </w:tc>
        <w:tc>
          <w:tcPr>
            <w:tcW w:w="4680" w:type="dxa"/>
            <w:tcMar>
              <w:top w:w="150" w:type="dxa"/>
              <w:left w:w="240" w:type="dxa"/>
              <w:bottom w:w="150" w:type="dxa"/>
              <w:right w:w="0" w:type="dxa"/>
            </w:tcMar>
            <w:vAlign w:val="center"/>
            <w:hideMark/>
          </w:tcPr>
          <w:p w14:paraId="1E95EF01"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Safety Standards Manual </w:t>
            </w:r>
            <w:proofErr w:type="gramStart"/>
            <w:r w:rsidRPr="00E63744">
              <w:rPr>
                <w:rFonts w:ascii="Segoe UI" w:eastAsia="Times New Roman" w:hAnsi="Segoe UI" w:cs="Segoe UI"/>
                <w:kern w:val="0"/>
                <w:sz w:val="23"/>
                <w:szCs w:val="23"/>
                <w14:ligatures w14:val="none"/>
              </w:rPr>
              <w:t>For</w:t>
            </w:r>
            <w:proofErr w:type="gramEnd"/>
            <w:r w:rsidRPr="00E63744">
              <w:rPr>
                <w:rFonts w:ascii="Segoe UI" w:eastAsia="Times New Roman" w:hAnsi="Segoe UI" w:cs="Segoe UI"/>
                <w:kern w:val="0"/>
                <w:sz w:val="23"/>
                <w:szCs w:val="23"/>
                <w14:ligatures w14:val="none"/>
              </w:rPr>
              <w:t xml:space="preserve"> Schools</w:t>
            </w:r>
          </w:p>
        </w:tc>
      </w:tr>
      <w:tr w:rsidR="00E63744" w:rsidRPr="00E63744" w14:paraId="1FBD7A1C" w14:textId="77777777" w:rsidTr="00D03527">
        <w:tc>
          <w:tcPr>
            <w:tcW w:w="900" w:type="dxa"/>
            <w:tcMar>
              <w:top w:w="150" w:type="dxa"/>
              <w:left w:w="0" w:type="dxa"/>
              <w:bottom w:w="150" w:type="dxa"/>
              <w:right w:w="240" w:type="dxa"/>
            </w:tcMar>
            <w:vAlign w:val="center"/>
            <w:hideMark/>
          </w:tcPr>
          <w:p w14:paraId="5D5084B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2012</w:t>
            </w:r>
          </w:p>
        </w:tc>
        <w:tc>
          <w:tcPr>
            <w:tcW w:w="2700" w:type="dxa"/>
            <w:tcMar>
              <w:top w:w="150" w:type="dxa"/>
              <w:left w:w="240" w:type="dxa"/>
              <w:bottom w:w="150" w:type="dxa"/>
              <w:right w:w="240" w:type="dxa"/>
            </w:tcMar>
            <w:vAlign w:val="center"/>
            <w:hideMark/>
          </w:tcPr>
          <w:p w14:paraId="75014BF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article</w:t>
            </w:r>
          </w:p>
        </w:tc>
        <w:tc>
          <w:tcPr>
            <w:tcW w:w="4680" w:type="dxa"/>
            <w:tcMar>
              <w:top w:w="150" w:type="dxa"/>
              <w:left w:w="240" w:type="dxa"/>
              <w:bottom w:w="150" w:type="dxa"/>
              <w:right w:w="0" w:type="dxa"/>
            </w:tcMar>
            <w:vAlign w:val="center"/>
            <w:hideMark/>
          </w:tcPr>
          <w:p w14:paraId="4DCBD52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Sexual Offences Act (Kenya, 2006) is specifically referenced as the national law intended to address sexual violence; the article also situates the study within international SRH/GBV frameworks (WHO definitions, International Conference on Population and Development references).</w:t>
            </w:r>
          </w:p>
        </w:tc>
      </w:tr>
      <w:tr w:rsidR="00E63744" w:rsidRPr="00E63744" w14:paraId="4E1C3D11" w14:textId="77777777" w:rsidTr="00D03527">
        <w:tc>
          <w:tcPr>
            <w:tcW w:w="900" w:type="dxa"/>
            <w:tcMar>
              <w:top w:w="150" w:type="dxa"/>
              <w:left w:w="0" w:type="dxa"/>
              <w:bottom w:w="150" w:type="dxa"/>
              <w:right w:w="240" w:type="dxa"/>
            </w:tcMar>
            <w:vAlign w:val="center"/>
            <w:hideMark/>
          </w:tcPr>
          <w:p w14:paraId="4302537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2013</w:t>
            </w:r>
          </w:p>
        </w:tc>
        <w:tc>
          <w:tcPr>
            <w:tcW w:w="2700" w:type="dxa"/>
            <w:tcMar>
              <w:top w:w="150" w:type="dxa"/>
              <w:left w:w="240" w:type="dxa"/>
              <w:bottom w:w="150" w:type="dxa"/>
              <w:right w:w="240" w:type="dxa"/>
            </w:tcMar>
            <w:vAlign w:val="center"/>
            <w:hideMark/>
          </w:tcPr>
          <w:p w14:paraId="4B481CF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Discussion Paper / Global Policy Review</w:t>
            </w:r>
          </w:p>
        </w:tc>
        <w:tc>
          <w:tcPr>
            <w:tcW w:w="4680" w:type="dxa"/>
            <w:tcMar>
              <w:top w:w="150" w:type="dxa"/>
              <w:left w:w="240" w:type="dxa"/>
              <w:bottom w:w="150" w:type="dxa"/>
              <w:right w:w="0" w:type="dxa"/>
            </w:tcMar>
            <w:vAlign w:val="center"/>
            <w:hideMark/>
          </w:tcPr>
          <w:p w14:paraId="288D41A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School-Related Gender-Based Violence (SRGBV) Global Discussion Paper</w:t>
            </w:r>
          </w:p>
        </w:tc>
      </w:tr>
      <w:tr w:rsidR="00E63744" w:rsidRPr="00E63744" w14:paraId="3902927F" w14:textId="77777777" w:rsidTr="00D03527">
        <w:tc>
          <w:tcPr>
            <w:tcW w:w="900" w:type="dxa"/>
            <w:tcMar>
              <w:top w:w="150" w:type="dxa"/>
              <w:left w:w="0" w:type="dxa"/>
              <w:bottom w:w="150" w:type="dxa"/>
              <w:right w:w="240" w:type="dxa"/>
            </w:tcMar>
            <w:vAlign w:val="center"/>
            <w:hideMark/>
          </w:tcPr>
          <w:p w14:paraId="2C5FA51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2013</w:t>
            </w:r>
          </w:p>
        </w:tc>
        <w:tc>
          <w:tcPr>
            <w:tcW w:w="2700" w:type="dxa"/>
            <w:tcMar>
              <w:top w:w="150" w:type="dxa"/>
              <w:left w:w="240" w:type="dxa"/>
              <w:bottom w:w="150" w:type="dxa"/>
              <w:right w:w="240" w:type="dxa"/>
            </w:tcMar>
            <w:vAlign w:val="center"/>
            <w:hideMark/>
          </w:tcPr>
          <w:p w14:paraId="6C4E57F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Paper (Published in International Journal of Education and Research, Vol. 1 No. 3, March 2013)</w:t>
            </w:r>
          </w:p>
        </w:tc>
        <w:tc>
          <w:tcPr>
            <w:tcW w:w="4680" w:type="dxa"/>
            <w:tcMar>
              <w:top w:w="150" w:type="dxa"/>
              <w:left w:w="240" w:type="dxa"/>
              <w:bottom w:w="150" w:type="dxa"/>
              <w:right w:w="0" w:type="dxa"/>
            </w:tcMar>
            <w:vAlign w:val="center"/>
            <w:hideMark/>
          </w:tcPr>
          <w:p w14:paraId="1491D0C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Mentions: UN Convention on the Rights of the Child (CRC), African Charter on the Rights and Welfare of the Child, and Kenyan Constitution providing for protection of children from all forms of harm, violence, or abuse. Also cited is the Children’s Act (2001) and the Sexual Offences Act (2006).</w:t>
            </w:r>
          </w:p>
        </w:tc>
      </w:tr>
      <w:tr w:rsidR="00E63744" w:rsidRPr="00E63744" w14:paraId="1FF9690D" w14:textId="77777777" w:rsidTr="00D03527">
        <w:tc>
          <w:tcPr>
            <w:tcW w:w="900" w:type="dxa"/>
            <w:tcMar>
              <w:top w:w="150" w:type="dxa"/>
              <w:left w:w="0" w:type="dxa"/>
              <w:bottom w:w="150" w:type="dxa"/>
              <w:right w:w="240" w:type="dxa"/>
            </w:tcMar>
            <w:vAlign w:val="center"/>
            <w:hideMark/>
          </w:tcPr>
          <w:p w14:paraId="32BADAD1"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2013</w:t>
            </w:r>
          </w:p>
        </w:tc>
        <w:tc>
          <w:tcPr>
            <w:tcW w:w="2700" w:type="dxa"/>
            <w:tcMar>
              <w:top w:w="150" w:type="dxa"/>
              <w:left w:w="240" w:type="dxa"/>
              <w:bottom w:w="150" w:type="dxa"/>
              <w:right w:w="240" w:type="dxa"/>
            </w:tcMar>
            <w:vAlign w:val="center"/>
            <w:hideMark/>
          </w:tcPr>
          <w:p w14:paraId="4569651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and Evaluation Report</w:t>
            </w:r>
          </w:p>
        </w:tc>
        <w:tc>
          <w:tcPr>
            <w:tcW w:w="4680" w:type="dxa"/>
            <w:tcMar>
              <w:top w:w="150" w:type="dxa"/>
              <w:left w:w="240" w:type="dxa"/>
              <w:bottom w:w="150" w:type="dxa"/>
              <w:right w:w="0" w:type="dxa"/>
            </w:tcMar>
            <w:vAlign w:val="center"/>
            <w:hideMark/>
          </w:tcPr>
          <w:p w14:paraId="7758AD3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The project and report reference national and international frameworks influencing SRGBV:</w:t>
            </w:r>
            <w:r w:rsidRPr="00E63744">
              <w:rPr>
                <w:rFonts w:ascii="Segoe UI" w:eastAsia="Times New Roman" w:hAnsi="Segoe UI" w:cs="Segoe UI"/>
                <w:kern w:val="0"/>
                <w:sz w:val="23"/>
                <w:szCs w:val="23"/>
                <w14:ligatures w14:val="none"/>
              </w:rPr>
              <w:br/>
              <w:t xml:space="preserve">– Kenya: Sexual Offences Act (2006, reviewed 2011), FGM Act (2011), Teachers Service Commission Act (2012), and Basic </w:t>
            </w:r>
            <w:r w:rsidRPr="00E63744">
              <w:rPr>
                <w:rFonts w:ascii="Segoe UI" w:eastAsia="Times New Roman" w:hAnsi="Segoe UI" w:cs="Segoe UI"/>
                <w:kern w:val="0"/>
                <w:sz w:val="23"/>
                <w:szCs w:val="23"/>
                <w14:ligatures w14:val="none"/>
              </w:rPr>
              <w:lastRenderedPageBreak/>
              <w:t>Education Act (2012). Others policies in Ghana and Mozambique also mentioned.</w:t>
            </w:r>
          </w:p>
        </w:tc>
      </w:tr>
      <w:tr w:rsidR="00E63744" w:rsidRPr="00E63744" w14:paraId="175E4FBB" w14:textId="77777777" w:rsidTr="00D03527">
        <w:tc>
          <w:tcPr>
            <w:tcW w:w="900" w:type="dxa"/>
            <w:tcMar>
              <w:top w:w="150" w:type="dxa"/>
              <w:left w:w="0" w:type="dxa"/>
              <w:bottom w:w="150" w:type="dxa"/>
              <w:right w:w="240" w:type="dxa"/>
            </w:tcMar>
            <w:vAlign w:val="center"/>
            <w:hideMark/>
          </w:tcPr>
          <w:p w14:paraId="3E3FE460"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lastRenderedPageBreak/>
              <w:t>2014</w:t>
            </w:r>
          </w:p>
        </w:tc>
        <w:tc>
          <w:tcPr>
            <w:tcW w:w="2700" w:type="dxa"/>
            <w:tcMar>
              <w:top w:w="150" w:type="dxa"/>
              <w:left w:w="240" w:type="dxa"/>
              <w:bottom w:w="150" w:type="dxa"/>
              <w:right w:w="240" w:type="dxa"/>
            </w:tcMar>
            <w:vAlign w:val="center"/>
            <w:hideMark/>
          </w:tcPr>
          <w:p w14:paraId="342909B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Policy</w:t>
            </w:r>
          </w:p>
        </w:tc>
        <w:tc>
          <w:tcPr>
            <w:tcW w:w="4680" w:type="dxa"/>
            <w:tcMar>
              <w:top w:w="150" w:type="dxa"/>
              <w:left w:w="240" w:type="dxa"/>
              <w:bottom w:w="150" w:type="dxa"/>
              <w:right w:w="0" w:type="dxa"/>
            </w:tcMar>
            <w:vAlign w:val="center"/>
            <w:hideMark/>
          </w:tcPr>
          <w:p w14:paraId="2567BA2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National policy for prevention and response to </w:t>
            </w:r>
            <w:proofErr w:type="gramStart"/>
            <w:r w:rsidRPr="00E63744">
              <w:rPr>
                <w:rFonts w:ascii="Segoe UI" w:eastAsia="Times New Roman" w:hAnsi="Segoe UI" w:cs="Segoe UI"/>
                <w:kern w:val="0"/>
                <w:sz w:val="23"/>
                <w:szCs w:val="23"/>
                <w14:ligatures w14:val="none"/>
              </w:rPr>
              <w:t>gender based</w:t>
            </w:r>
            <w:proofErr w:type="gramEnd"/>
            <w:r w:rsidRPr="00E63744">
              <w:rPr>
                <w:rFonts w:ascii="Segoe UI" w:eastAsia="Times New Roman" w:hAnsi="Segoe UI" w:cs="Segoe UI"/>
                <w:kern w:val="0"/>
                <w:sz w:val="23"/>
                <w:szCs w:val="23"/>
                <w14:ligatures w14:val="none"/>
              </w:rPr>
              <w:t xml:space="preserve"> violence</w:t>
            </w:r>
          </w:p>
        </w:tc>
      </w:tr>
      <w:tr w:rsidR="00E63744" w:rsidRPr="00E63744" w14:paraId="6DF38BD3" w14:textId="77777777" w:rsidTr="00D03527">
        <w:tc>
          <w:tcPr>
            <w:tcW w:w="900" w:type="dxa"/>
            <w:tcMar>
              <w:top w:w="150" w:type="dxa"/>
              <w:left w:w="0" w:type="dxa"/>
              <w:bottom w:w="150" w:type="dxa"/>
              <w:right w:w="240" w:type="dxa"/>
            </w:tcMar>
            <w:vAlign w:val="center"/>
            <w:hideMark/>
          </w:tcPr>
          <w:p w14:paraId="1825645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2015</w:t>
            </w:r>
          </w:p>
        </w:tc>
        <w:tc>
          <w:tcPr>
            <w:tcW w:w="2700" w:type="dxa"/>
            <w:tcMar>
              <w:top w:w="150" w:type="dxa"/>
              <w:left w:w="240" w:type="dxa"/>
              <w:bottom w:w="150" w:type="dxa"/>
              <w:right w:w="240" w:type="dxa"/>
            </w:tcMar>
            <w:vAlign w:val="center"/>
            <w:hideMark/>
          </w:tcPr>
          <w:p w14:paraId="6D8657C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Legal regulation / Code of Regulations</w:t>
            </w:r>
          </w:p>
        </w:tc>
        <w:tc>
          <w:tcPr>
            <w:tcW w:w="4680" w:type="dxa"/>
            <w:tcMar>
              <w:top w:w="150" w:type="dxa"/>
              <w:left w:w="240" w:type="dxa"/>
              <w:bottom w:w="150" w:type="dxa"/>
              <w:right w:w="0" w:type="dxa"/>
            </w:tcMar>
            <w:vAlign w:val="center"/>
            <w:hideMark/>
          </w:tcPr>
          <w:p w14:paraId="55E2841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CODE OF REGULATIONS FOR TEACHERS</w:t>
            </w:r>
            <w:r w:rsidRPr="00E63744">
              <w:rPr>
                <w:rFonts w:ascii="Segoe UI" w:eastAsia="Times New Roman" w:hAnsi="Segoe UI" w:cs="Segoe UI"/>
                <w:kern w:val="0"/>
                <w:sz w:val="23"/>
                <w:szCs w:val="23"/>
                <w14:ligatures w14:val="none"/>
              </w:rPr>
              <w:br/>
              <w:t>NO. 196 OF 2015 Revised</w:t>
            </w:r>
          </w:p>
        </w:tc>
      </w:tr>
      <w:tr w:rsidR="00E63744" w:rsidRPr="00E63744" w14:paraId="42FA5CD8" w14:textId="77777777" w:rsidTr="00D03527">
        <w:tc>
          <w:tcPr>
            <w:tcW w:w="900" w:type="dxa"/>
            <w:tcMar>
              <w:top w:w="150" w:type="dxa"/>
              <w:left w:w="0" w:type="dxa"/>
              <w:bottom w:w="150" w:type="dxa"/>
              <w:right w:w="240" w:type="dxa"/>
            </w:tcMar>
            <w:vAlign w:val="center"/>
            <w:hideMark/>
          </w:tcPr>
          <w:p w14:paraId="33481371"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2015</w:t>
            </w:r>
          </w:p>
        </w:tc>
        <w:tc>
          <w:tcPr>
            <w:tcW w:w="2700" w:type="dxa"/>
            <w:tcMar>
              <w:top w:w="150" w:type="dxa"/>
              <w:left w:w="240" w:type="dxa"/>
              <w:bottom w:w="150" w:type="dxa"/>
              <w:right w:w="240" w:type="dxa"/>
            </w:tcMar>
            <w:vAlign w:val="center"/>
            <w:hideMark/>
          </w:tcPr>
          <w:p w14:paraId="6F1E9E3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Policy</w:t>
            </w:r>
          </w:p>
        </w:tc>
        <w:tc>
          <w:tcPr>
            <w:tcW w:w="4680" w:type="dxa"/>
            <w:tcMar>
              <w:top w:w="150" w:type="dxa"/>
              <w:left w:w="240" w:type="dxa"/>
              <w:bottom w:w="150" w:type="dxa"/>
              <w:right w:w="0" w:type="dxa"/>
            </w:tcMar>
            <w:vAlign w:val="center"/>
            <w:hideMark/>
          </w:tcPr>
          <w:p w14:paraId="04A82E0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Education and Training Sector Gender Policy</w:t>
            </w:r>
          </w:p>
        </w:tc>
      </w:tr>
      <w:tr w:rsidR="00E63744" w:rsidRPr="00E63744" w14:paraId="1C4FFFCD" w14:textId="77777777" w:rsidTr="00D03527">
        <w:tc>
          <w:tcPr>
            <w:tcW w:w="900" w:type="dxa"/>
            <w:tcMar>
              <w:top w:w="150" w:type="dxa"/>
              <w:left w:w="0" w:type="dxa"/>
              <w:bottom w:w="150" w:type="dxa"/>
              <w:right w:w="240" w:type="dxa"/>
            </w:tcMar>
            <w:vAlign w:val="center"/>
            <w:hideMark/>
          </w:tcPr>
          <w:p w14:paraId="19C89AF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2016</w:t>
            </w:r>
          </w:p>
        </w:tc>
        <w:tc>
          <w:tcPr>
            <w:tcW w:w="2700" w:type="dxa"/>
            <w:tcMar>
              <w:top w:w="150" w:type="dxa"/>
              <w:left w:w="240" w:type="dxa"/>
              <w:bottom w:w="150" w:type="dxa"/>
              <w:right w:w="240" w:type="dxa"/>
            </w:tcMar>
            <w:vAlign w:val="center"/>
            <w:hideMark/>
          </w:tcPr>
          <w:p w14:paraId="3FECEC8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Global Policy Guidance / Framework Document</w:t>
            </w:r>
          </w:p>
        </w:tc>
        <w:tc>
          <w:tcPr>
            <w:tcW w:w="4680" w:type="dxa"/>
            <w:tcMar>
              <w:top w:w="150" w:type="dxa"/>
              <w:left w:w="240" w:type="dxa"/>
              <w:bottom w:w="150" w:type="dxa"/>
              <w:right w:w="0" w:type="dxa"/>
            </w:tcMar>
            <w:vAlign w:val="center"/>
            <w:hideMark/>
          </w:tcPr>
          <w:p w14:paraId="7F3B2D91"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Global Guidance on Addressing School-Related Gender-Based Violence (SRGBV)</w:t>
            </w:r>
          </w:p>
        </w:tc>
      </w:tr>
      <w:tr w:rsidR="00E63744" w:rsidRPr="00E63744" w14:paraId="0D3EE9C8" w14:textId="77777777" w:rsidTr="00D03527">
        <w:tc>
          <w:tcPr>
            <w:tcW w:w="900" w:type="dxa"/>
            <w:tcMar>
              <w:top w:w="150" w:type="dxa"/>
              <w:left w:w="0" w:type="dxa"/>
              <w:bottom w:w="150" w:type="dxa"/>
              <w:right w:w="240" w:type="dxa"/>
            </w:tcMar>
            <w:vAlign w:val="center"/>
            <w:hideMark/>
          </w:tcPr>
          <w:p w14:paraId="44151325"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2016</w:t>
            </w:r>
          </w:p>
        </w:tc>
        <w:tc>
          <w:tcPr>
            <w:tcW w:w="2700" w:type="dxa"/>
            <w:tcMar>
              <w:top w:w="150" w:type="dxa"/>
              <w:left w:w="240" w:type="dxa"/>
              <w:bottom w:w="150" w:type="dxa"/>
              <w:right w:w="240" w:type="dxa"/>
            </w:tcMar>
            <w:vAlign w:val="center"/>
            <w:hideMark/>
          </w:tcPr>
          <w:p w14:paraId="778C4AB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Technical report and paper</w:t>
            </w:r>
          </w:p>
        </w:tc>
        <w:tc>
          <w:tcPr>
            <w:tcW w:w="4680" w:type="dxa"/>
            <w:tcMar>
              <w:top w:w="150" w:type="dxa"/>
              <w:left w:w="240" w:type="dxa"/>
              <w:bottom w:w="150" w:type="dxa"/>
              <w:right w:w="0" w:type="dxa"/>
            </w:tcMar>
            <w:vAlign w:val="center"/>
            <w:hideMark/>
          </w:tcPr>
          <w:p w14:paraId="5C1ADA8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Mentions: Teachers' Service Commission Act no.22 of 2012 and The Sexual Offences Act No.3 of 2006.</w:t>
            </w:r>
          </w:p>
        </w:tc>
      </w:tr>
      <w:tr w:rsidR="00E63744" w:rsidRPr="00E63744" w14:paraId="45D60F8D" w14:textId="77777777" w:rsidTr="00D03527">
        <w:tc>
          <w:tcPr>
            <w:tcW w:w="900" w:type="dxa"/>
            <w:tcMar>
              <w:top w:w="150" w:type="dxa"/>
              <w:left w:w="0" w:type="dxa"/>
              <w:bottom w:w="150" w:type="dxa"/>
              <w:right w:w="240" w:type="dxa"/>
            </w:tcMar>
            <w:vAlign w:val="center"/>
            <w:hideMark/>
          </w:tcPr>
          <w:p w14:paraId="419B449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2018</w:t>
            </w:r>
          </w:p>
        </w:tc>
        <w:tc>
          <w:tcPr>
            <w:tcW w:w="2700" w:type="dxa"/>
            <w:tcMar>
              <w:top w:w="150" w:type="dxa"/>
              <w:left w:w="240" w:type="dxa"/>
              <w:bottom w:w="150" w:type="dxa"/>
              <w:right w:w="240" w:type="dxa"/>
            </w:tcMar>
            <w:vAlign w:val="center"/>
            <w:hideMark/>
          </w:tcPr>
          <w:p w14:paraId="7CA44C9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Report</w:t>
            </w:r>
          </w:p>
        </w:tc>
        <w:tc>
          <w:tcPr>
            <w:tcW w:w="4680" w:type="dxa"/>
            <w:tcMar>
              <w:top w:w="150" w:type="dxa"/>
              <w:left w:w="240" w:type="dxa"/>
              <w:bottom w:w="150" w:type="dxa"/>
              <w:right w:w="0" w:type="dxa"/>
            </w:tcMar>
            <w:vAlign w:val="center"/>
            <w:hideMark/>
          </w:tcPr>
          <w:p w14:paraId="461C46D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UNICEF Kenya Country </w:t>
            </w:r>
            <w:proofErr w:type="spellStart"/>
            <w:r w:rsidRPr="00E63744">
              <w:rPr>
                <w:rFonts w:ascii="Segoe UI" w:eastAsia="Times New Roman" w:hAnsi="Segoe UI" w:cs="Segoe UI"/>
                <w:kern w:val="0"/>
                <w:sz w:val="23"/>
                <w:szCs w:val="23"/>
                <w14:ligatures w14:val="none"/>
              </w:rPr>
              <w:t>Programme</w:t>
            </w:r>
            <w:proofErr w:type="spellEnd"/>
            <w:r w:rsidRPr="00E63744">
              <w:rPr>
                <w:rFonts w:ascii="Segoe UI" w:eastAsia="Times New Roman" w:hAnsi="Segoe UI" w:cs="Segoe UI"/>
                <w:kern w:val="0"/>
                <w:sz w:val="23"/>
                <w:szCs w:val="23"/>
                <w14:ligatures w14:val="none"/>
              </w:rPr>
              <w:t xml:space="preserve"> 2014–2018 (as part of the UN Development Assistance Framework – UNDAF)</w:t>
            </w:r>
          </w:p>
        </w:tc>
      </w:tr>
      <w:tr w:rsidR="00E63744" w:rsidRPr="00E63744" w14:paraId="42BF33C6" w14:textId="77777777" w:rsidTr="00D03527">
        <w:tc>
          <w:tcPr>
            <w:tcW w:w="900" w:type="dxa"/>
            <w:tcMar>
              <w:top w:w="150" w:type="dxa"/>
              <w:left w:w="0" w:type="dxa"/>
              <w:bottom w:w="150" w:type="dxa"/>
              <w:right w:w="240" w:type="dxa"/>
            </w:tcMar>
            <w:vAlign w:val="center"/>
            <w:hideMark/>
          </w:tcPr>
          <w:p w14:paraId="401F7A9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2018</w:t>
            </w:r>
          </w:p>
        </w:tc>
        <w:tc>
          <w:tcPr>
            <w:tcW w:w="2700" w:type="dxa"/>
            <w:tcMar>
              <w:top w:w="150" w:type="dxa"/>
              <w:left w:w="240" w:type="dxa"/>
              <w:bottom w:w="150" w:type="dxa"/>
              <w:right w:w="240" w:type="dxa"/>
            </w:tcMar>
            <w:vAlign w:val="center"/>
            <w:hideMark/>
          </w:tcPr>
          <w:p w14:paraId="12AE37E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report</w:t>
            </w:r>
          </w:p>
        </w:tc>
        <w:tc>
          <w:tcPr>
            <w:tcW w:w="4680" w:type="dxa"/>
            <w:tcMar>
              <w:top w:w="150" w:type="dxa"/>
              <w:left w:w="240" w:type="dxa"/>
              <w:bottom w:w="150" w:type="dxa"/>
              <w:right w:w="0" w:type="dxa"/>
            </w:tcMar>
            <w:vAlign w:val="center"/>
            <w:hideMark/>
          </w:tcPr>
          <w:p w14:paraId="40A2DB2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Study on Child Abuse in Kenya – commissioned by the Kenya Conference of Catholic Bishops (KCCB)</w:t>
            </w:r>
          </w:p>
        </w:tc>
      </w:tr>
      <w:tr w:rsidR="00E63744" w:rsidRPr="00E63744" w14:paraId="5EB4F2E0" w14:textId="77777777" w:rsidTr="00D03527">
        <w:tc>
          <w:tcPr>
            <w:tcW w:w="900" w:type="dxa"/>
            <w:tcMar>
              <w:top w:w="150" w:type="dxa"/>
              <w:left w:w="0" w:type="dxa"/>
              <w:bottom w:w="150" w:type="dxa"/>
              <w:right w:w="240" w:type="dxa"/>
            </w:tcMar>
            <w:vAlign w:val="center"/>
            <w:hideMark/>
          </w:tcPr>
          <w:p w14:paraId="3C32186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2019</w:t>
            </w:r>
          </w:p>
        </w:tc>
        <w:tc>
          <w:tcPr>
            <w:tcW w:w="2700" w:type="dxa"/>
            <w:tcMar>
              <w:top w:w="150" w:type="dxa"/>
              <w:left w:w="240" w:type="dxa"/>
              <w:bottom w:w="150" w:type="dxa"/>
              <w:right w:w="240" w:type="dxa"/>
            </w:tcMar>
            <w:vAlign w:val="center"/>
            <w:hideMark/>
          </w:tcPr>
          <w:p w14:paraId="68DE3F31"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Global Guidance / Framework / Implementation and Monitoring Tool</w:t>
            </w:r>
          </w:p>
        </w:tc>
        <w:tc>
          <w:tcPr>
            <w:tcW w:w="4680" w:type="dxa"/>
            <w:tcMar>
              <w:top w:w="150" w:type="dxa"/>
              <w:left w:w="240" w:type="dxa"/>
              <w:bottom w:w="150" w:type="dxa"/>
              <w:right w:w="0" w:type="dxa"/>
            </w:tcMar>
            <w:vAlign w:val="center"/>
            <w:hideMark/>
          </w:tcPr>
          <w:p w14:paraId="312B219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Whole School Approach to Prevent and Respond to School-Related Gender-Based Violence (SRGBV) – Minimum Standards and Monitoring Framework</w:t>
            </w:r>
          </w:p>
        </w:tc>
      </w:tr>
      <w:tr w:rsidR="00E63744" w:rsidRPr="00E63744" w14:paraId="1DF9B7A6" w14:textId="77777777" w:rsidTr="00D03527">
        <w:tc>
          <w:tcPr>
            <w:tcW w:w="900" w:type="dxa"/>
            <w:tcMar>
              <w:top w:w="150" w:type="dxa"/>
              <w:left w:w="0" w:type="dxa"/>
              <w:bottom w:w="150" w:type="dxa"/>
              <w:right w:w="240" w:type="dxa"/>
            </w:tcMar>
            <w:vAlign w:val="center"/>
            <w:hideMark/>
          </w:tcPr>
          <w:p w14:paraId="5ED664B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lastRenderedPageBreak/>
              <w:t>2019 (report covers period 2018)</w:t>
            </w:r>
          </w:p>
        </w:tc>
        <w:tc>
          <w:tcPr>
            <w:tcW w:w="2700" w:type="dxa"/>
            <w:tcMar>
              <w:top w:w="150" w:type="dxa"/>
              <w:left w:w="240" w:type="dxa"/>
              <w:bottom w:w="150" w:type="dxa"/>
              <w:right w:w="240" w:type="dxa"/>
            </w:tcMar>
            <w:vAlign w:val="center"/>
            <w:hideMark/>
          </w:tcPr>
          <w:p w14:paraId="61E2F5E1"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Stakeholder Report / Partnership Impact Report</w:t>
            </w:r>
          </w:p>
        </w:tc>
        <w:tc>
          <w:tcPr>
            <w:tcW w:w="4680" w:type="dxa"/>
            <w:tcMar>
              <w:top w:w="150" w:type="dxa"/>
              <w:left w:w="240" w:type="dxa"/>
              <w:bottom w:w="150" w:type="dxa"/>
              <w:right w:w="0" w:type="dxa"/>
            </w:tcMar>
            <w:vAlign w:val="center"/>
            <w:hideMark/>
          </w:tcPr>
          <w:p w14:paraId="5AFFAF6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Together for Girls Stakeholder Report 2018 (“Strength in Numbers”) — not a policy or guideline itself but a report summarizing data, progress, priorities, and partnership achievements.</w:t>
            </w:r>
          </w:p>
        </w:tc>
      </w:tr>
      <w:tr w:rsidR="00E63744" w:rsidRPr="00E63744" w14:paraId="61FDF700" w14:textId="77777777" w:rsidTr="00D03527">
        <w:tc>
          <w:tcPr>
            <w:tcW w:w="900" w:type="dxa"/>
            <w:tcMar>
              <w:top w:w="150" w:type="dxa"/>
              <w:left w:w="0" w:type="dxa"/>
              <w:bottom w:w="150" w:type="dxa"/>
              <w:right w:w="240" w:type="dxa"/>
            </w:tcMar>
            <w:vAlign w:val="center"/>
            <w:hideMark/>
          </w:tcPr>
          <w:p w14:paraId="100726F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Not stated</w:t>
            </w:r>
          </w:p>
        </w:tc>
        <w:tc>
          <w:tcPr>
            <w:tcW w:w="2700" w:type="dxa"/>
            <w:tcMar>
              <w:top w:w="150" w:type="dxa"/>
              <w:left w:w="240" w:type="dxa"/>
              <w:bottom w:w="150" w:type="dxa"/>
              <w:right w:w="240" w:type="dxa"/>
            </w:tcMar>
            <w:vAlign w:val="center"/>
            <w:hideMark/>
          </w:tcPr>
          <w:p w14:paraId="7D6F568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Policy brief</w:t>
            </w:r>
          </w:p>
        </w:tc>
        <w:tc>
          <w:tcPr>
            <w:tcW w:w="4680" w:type="dxa"/>
            <w:tcMar>
              <w:top w:w="150" w:type="dxa"/>
              <w:left w:w="240" w:type="dxa"/>
              <w:bottom w:w="150" w:type="dxa"/>
              <w:right w:w="0" w:type="dxa"/>
            </w:tcMar>
            <w:vAlign w:val="center"/>
            <w:hideMark/>
          </w:tcPr>
          <w:p w14:paraId="33586A97"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National Prevention and Response Plan on Violence Against Children (2019–2023)</w:t>
            </w:r>
          </w:p>
        </w:tc>
      </w:tr>
      <w:tr w:rsidR="00E63744" w:rsidRPr="00E63744" w14:paraId="78DB49F9" w14:textId="77777777" w:rsidTr="00D03527">
        <w:tc>
          <w:tcPr>
            <w:tcW w:w="900" w:type="dxa"/>
            <w:tcMar>
              <w:top w:w="150" w:type="dxa"/>
              <w:left w:w="0" w:type="dxa"/>
              <w:bottom w:w="150" w:type="dxa"/>
              <w:right w:w="240" w:type="dxa"/>
            </w:tcMar>
            <w:vAlign w:val="center"/>
            <w:hideMark/>
          </w:tcPr>
          <w:p w14:paraId="66F9942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w:t>
            </w:r>
          </w:p>
        </w:tc>
        <w:tc>
          <w:tcPr>
            <w:tcW w:w="2700" w:type="dxa"/>
            <w:tcMar>
              <w:top w:w="150" w:type="dxa"/>
              <w:left w:w="240" w:type="dxa"/>
              <w:bottom w:w="150" w:type="dxa"/>
              <w:right w:w="240" w:type="dxa"/>
            </w:tcMar>
            <w:vAlign w:val="center"/>
            <w:hideMark/>
          </w:tcPr>
          <w:p w14:paraId="0FB5EEF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NATIONAL PREVENTION AND RESPONSE</w:t>
            </w:r>
            <w:r w:rsidRPr="00E63744">
              <w:rPr>
                <w:rFonts w:ascii="Segoe UI" w:eastAsia="Times New Roman" w:hAnsi="Segoe UI" w:cs="Segoe UI"/>
                <w:kern w:val="0"/>
                <w:sz w:val="23"/>
                <w:szCs w:val="23"/>
                <w14:ligatures w14:val="none"/>
              </w:rPr>
              <w:br/>
              <w:t>PLAN ON VIOLENCE AGAINST CHILDREN</w:t>
            </w:r>
            <w:r w:rsidRPr="00E63744">
              <w:rPr>
                <w:rFonts w:ascii="Segoe UI" w:eastAsia="Times New Roman" w:hAnsi="Segoe UI" w:cs="Segoe UI"/>
                <w:kern w:val="0"/>
                <w:sz w:val="23"/>
                <w:szCs w:val="23"/>
                <w14:ligatures w14:val="none"/>
              </w:rPr>
              <w:br/>
              <w:t>IN KENYA 2019 – 2023</w:t>
            </w:r>
          </w:p>
        </w:tc>
        <w:tc>
          <w:tcPr>
            <w:tcW w:w="4680" w:type="dxa"/>
            <w:tcMar>
              <w:top w:w="150" w:type="dxa"/>
              <w:left w:w="240" w:type="dxa"/>
              <w:bottom w:w="150" w:type="dxa"/>
              <w:right w:w="0" w:type="dxa"/>
            </w:tcMar>
            <w:vAlign w:val="center"/>
            <w:hideMark/>
          </w:tcPr>
          <w:p w14:paraId="519C6BA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National action plan / strategic plan</w:t>
            </w:r>
          </w:p>
        </w:tc>
      </w:tr>
      <w:tr w:rsidR="00E63744" w:rsidRPr="00E63744" w14:paraId="64D77B84" w14:textId="77777777" w:rsidTr="00D03527">
        <w:tc>
          <w:tcPr>
            <w:tcW w:w="900" w:type="dxa"/>
            <w:tcMar>
              <w:top w:w="150" w:type="dxa"/>
              <w:left w:w="0" w:type="dxa"/>
              <w:bottom w:w="150" w:type="dxa"/>
              <w:right w:w="240" w:type="dxa"/>
            </w:tcMar>
            <w:vAlign w:val="center"/>
            <w:hideMark/>
          </w:tcPr>
          <w:p w14:paraId="0FB1C0E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w:t>
            </w:r>
          </w:p>
        </w:tc>
        <w:tc>
          <w:tcPr>
            <w:tcW w:w="2700" w:type="dxa"/>
            <w:tcMar>
              <w:top w:w="150" w:type="dxa"/>
              <w:left w:w="240" w:type="dxa"/>
              <w:bottom w:w="150" w:type="dxa"/>
              <w:right w:w="240" w:type="dxa"/>
            </w:tcMar>
            <w:vAlign w:val="center"/>
            <w:hideMark/>
          </w:tcPr>
          <w:p w14:paraId="31424A0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Guidelines</w:t>
            </w:r>
          </w:p>
        </w:tc>
        <w:tc>
          <w:tcPr>
            <w:tcW w:w="4680" w:type="dxa"/>
            <w:tcMar>
              <w:top w:w="150" w:type="dxa"/>
              <w:left w:w="240" w:type="dxa"/>
              <w:bottom w:w="150" w:type="dxa"/>
              <w:right w:w="0" w:type="dxa"/>
            </w:tcMar>
            <w:vAlign w:val="center"/>
            <w:hideMark/>
          </w:tcPr>
          <w:p w14:paraId="571F3F9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National guidelines for school re-entry in early learning and basic education</w:t>
            </w:r>
          </w:p>
        </w:tc>
      </w:tr>
      <w:tr w:rsidR="00E63744" w:rsidRPr="00E63744" w14:paraId="28293FE1" w14:textId="77777777" w:rsidTr="00D03527">
        <w:tc>
          <w:tcPr>
            <w:tcW w:w="900" w:type="dxa"/>
            <w:tcMar>
              <w:top w:w="150" w:type="dxa"/>
              <w:left w:w="0" w:type="dxa"/>
              <w:bottom w:w="150" w:type="dxa"/>
              <w:right w:w="240" w:type="dxa"/>
            </w:tcMar>
            <w:vAlign w:val="center"/>
            <w:hideMark/>
          </w:tcPr>
          <w:p w14:paraId="39AA53D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w:t>
            </w:r>
          </w:p>
        </w:tc>
        <w:tc>
          <w:tcPr>
            <w:tcW w:w="2700" w:type="dxa"/>
            <w:tcMar>
              <w:top w:w="150" w:type="dxa"/>
              <w:left w:w="240" w:type="dxa"/>
              <w:bottom w:w="150" w:type="dxa"/>
              <w:right w:w="240" w:type="dxa"/>
            </w:tcMar>
            <w:vAlign w:val="center"/>
            <w:hideMark/>
          </w:tcPr>
          <w:p w14:paraId="5660281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Factsheet / Infographic summary</w:t>
            </w:r>
          </w:p>
        </w:tc>
        <w:tc>
          <w:tcPr>
            <w:tcW w:w="4680" w:type="dxa"/>
            <w:tcMar>
              <w:top w:w="150" w:type="dxa"/>
              <w:left w:w="240" w:type="dxa"/>
              <w:bottom w:w="150" w:type="dxa"/>
              <w:right w:w="0" w:type="dxa"/>
            </w:tcMar>
            <w:vAlign w:val="center"/>
            <w:hideMark/>
          </w:tcPr>
          <w:p w14:paraId="41EFD0C7"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Kenya SRGBV Fact Sheet (as an evidence‐based summary of school-related gender-based violence data)</w:t>
            </w:r>
          </w:p>
        </w:tc>
      </w:tr>
      <w:tr w:rsidR="00E63744" w:rsidRPr="00E63744" w14:paraId="11DA24E9" w14:textId="77777777" w:rsidTr="00D03527">
        <w:tc>
          <w:tcPr>
            <w:tcW w:w="900" w:type="dxa"/>
            <w:tcMar>
              <w:top w:w="150" w:type="dxa"/>
              <w:left w:w="0" w:type="dxa"/>
              <w:bottom w:w="150" w:type="dxa"/>
              <w:right w:w="240" w:type="dxa"/>
            </w:tcMar>
            <w:vAlign w:val="center"/>
            <w:hideMark/>
          </w:tcPr>
          <w:p w14:paraId="51846F8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w:t>
            </w:r>
          </w:p>
        </w:tc>
        <w:tc>
          <w:tcPr>
            <w:tcW w:w="2700" w:type="dxa"/>
            <w:tcMar>
              <w:top w:w="150" w:type="dxa"/>
              <w:left w:w="240" w:type="dxa"/>
              <w:bottom w:w="150" w:type="dxa"/>
              <w:right w:w="240" w:type="dxa"/>
            </w:tcMar>
            <w:vAlign w:val="center"/>
            <w:hideMark/>
          </w:tcPr>
          <w:p w14:paraId="60B88C1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Policy Brief series / Empirical study focused on primary school SRGBV</w:t>
            </w:r>
          </w:p>
        </w:tc>
        <w:tc>
          <w:tcPr>
            <w:tcW w:w="4680" w:type="dxa"/>
            <w:tcMar>
              <w:top w:w="150" w:type="dxa"/>
              <w:left w:w="240" w:type="dxa"/>
              <w:bottom w:w="150" w:type="dxa"/>
              <w:right w:w="0" w:type="dxa"/>
            </w:tcMar>
            <w:vAlign w:val="center"/>
            <w:hideMark/>
          </w:tcPr>
          <w:p w14:paraId="22E3A26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The brief doesn’t carry a separate policy name; it’s a Brookings primary‐school SRGBV study in Kenya, part of a cross-country series. (Sometimes referred to as “Primary Schools SRGBV Brief – Kenya”)</w:t>
            </w:r>
          </w:p>
        </w:tc>
      </w:tr>
      <w:tr w:rsidR="00E63744" w:rsidRPr="00E63744" w14:paraId="42B007A5" w14:textId="77777777" w:rsidTr="00D03527">
        <w:tc>
          <w:tcPr>
            <w:tcW w:w="900" w:type="dxa"/>
            <w:tcMar>
              <w:top w:w="150" w:type="dxa"/>
              <w:left w:w="0" w:type="dxa"/>
              <w:bottom w:w="150" w:type="dxa"/>
              <w:right w:w="240" w:type="dxa"/>
            </w:tcMar>
            <w:vAlign w:val="center"/>
            <w:hideMark/>
          </w:tcPr>
          <w:p w14:paraId="78C6A9C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lastRenderedPageBreak/>
              <w:t>2020 (based on publication date); survey conducted in 2019</w:t>
            </w:r>
          </w:p>
        </w:tc>
        <w:tc>
          <w:tcPr>
            <w:tcW w:w="2700" w:type="dxa"/>
            <w:tcMar>
              <w:top w:w="150" w:type="dxa"/>
              <w:left w:w="240" w:type="dxa"/>
              <w:bottom w:w="150" w:type="dxa"/>
              <w:right w:w="240" w:type="dxa"/>
            </w:tcMar>
            <w:vAlign w:val="center"/>
            <w:hideMark/>
          </w:tcPr>
          <w:p w14:paraId="786D0F4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National Survey Report</w:t>
            </w:r>
          </w:p>
        </w:tc>
        <w:tc>
          <w:tcPr>
            <w:tcW w:w="4680" w:type="dxa"/>
            <w:tcMar>
              <w:top w:w="150" w:type="dxa"/>
              <w:left w:w="240" w:type="dxa"/>
              <w:bottom w:w="150" w:type="dxa"/>
              <w:right w:w="0" w:type="dxa"/>
            </w:tcMar>
            <w:vAlign w:val="center"/>
            <w:hideMark/>
          </w:tcPr>
          <w:p w14:paraId="0AF0606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Kenya Violence Against Children Survey (VACS) 2019</w:t>
            </w:r>
          </w:p>
        </w:tc>
      </w:tr>
      <w:tr w:rsidR="00E63744" w:rsidRPr="00E63744" w14:paraId="5CF25AA1" w14:textId="77777777" w:rsidTr="00D03527">
        <w:tc>
          <w:tcPr>
            <w:tcW w:w="900" w:type="dxa"/>
            <w:tcMar>
              <w:top w:w="150" w:type="dxa"/>
              <w:left w:w="0" w:type="dxa"/>
              <w:bottom w:w="150" w:type="dxa"/>
              <w:right w:w="240" w:type="dxa"/>
            </w:tcMar>
            <w:vAlign w:val="center"/>
            <w:hideMark/>
          </w:tcPr>
          <w:p w14:paraId="76221AC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w:t>
            </w:r>
          </w:p>
        </w:tc>
        <w:tc>
          <w:tcPr>
            <w:tcW w:w="2700" w:type="dxa"/>
            <w:tcMar>
              <w:top w:w="150" w:type="dxa"/>
              <w:left w:w="240" w:type="dxa"/>
              <w:bottom w:w="150" w:type="dxa"/>
              <w:right w:w="240" w:type="dxa"/>
            </w:tcMar>
            <w:vAlign w:val="center"/>
            <w:hideMark/>
          </w:tcPr>
          <w:p w14:paraId="156B572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Article (The Cradle of Knowledge: African Journal of Educational and Social Science Research, Vol. 8, No. 1)</w:t>
            </w:r>
          </w:p>
        </w:tc>
        <w:tc>
          <w:tcPr>
            <w:tcW w:w="4680" w:type="dxa"/>
            <w:tcMar>
              <w:top w:w="150" w:type="dxa"/>
              <w:left w:w="240" w:type="dxa"/>
              <w:bottom w:w="150" w:type="dxa"/>
              <w:right w:w="0" w:type="dxa"/>
            </w:tcMar>
            <w:vAlign w:val="center"/>
            <w:hideMark/>
          </w:tcPr>
          <w:p w14:paraId="51FC73C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References to:</w:t>
            </w:r>
            <w:r w:rsidRPr="00E63744">
              <w:rPr>
                <w:rFonts w:ascii="Segoe UI" w:eastAsia="Times New Roman" w:hAnsi="Segoe UI" w:cs="Segoe UI"/>
                <w:kern w:val="0"/>
                <w:sz w:val="23"/>
                <w:szCs w:val="23"/>
                <w14:ligatures w14:val="none"/>
              </w:rPr>
              <w:br/>
              <w:t>– Sexual Offences Act (2006)</w:t>
            </w:r>
            <w:r w:rsidRPr="00E63744">
              <w:rPr>
                <w:rFonts w:ascii="Segoe UI" w:eastAsia="Times New Roman" w:hAnsi="Segoe UI" w:cs="Segoe UI"/>
                <w:kern w:val="0"/>
                <w:sz w:val="23"/>
                <w:szCs w:val="23"/>
                <w14:ligatures w14:val="none"/>
              </w:rPr>
              <w:br/>
              <w:t>– Safety Standards Manual for Schools (MOE, 2008)</w:t>
            </w:r>
            <w:r w:rsidRPr="00E63744">
              <w:rPr>
                <w:rFonts w:ascii="Segoe UI" w:eastAsia="Times New Roman" w:hAnsi="Segoe UI" w:cs="Segoe UI"/>
                <w:kern w:val="0"/>
                <w:sz w:val="23"/>
                <w:szCs w:val="23"/>
                <w14:ligatures w14:val="none"/>
              </w:rPr>
              <w:br/>
              <w:t>– Gender Policy in Education (MOE, 2011)</w:t>
            </w:r>
            <w:r w:rsidRPr="00E63744">
              <w:rPr>
                <w:rFonts w:ascii="Segoe UI" w:eastAsia="Times New Roman" w:hAnsi="Segoe UI" w:cs="Segoe UI"/>
                <w:kern w:val="0"/>
                <w:sz w:val="23"/>
                <w:szCs w:val="23"/>
                <w14:ligatures w14:val="none"/>
              </w:rPr>
              <w:br/>
              <w:t>– UN Convention on the Rights of the Child (Article 34)</w:t>
            </w:r>
            <w:r w:rsidRPr="00E63744">
              <w:rPr>
                <w:rFonts w:ascii="Segoe UI" w:eastAsia="Times New Roman" w:hAnsi="Segoe UI" w:cs="Segoe UI"/>
                <w:kern w:val="0"/>
                <w:sz w:val="23"/>
                <w:szCs w:val="23"/>
                <w14:ligatures w14:val="none"/>
              </w:rPr>
              <w:br/>
              <w:t>– Ministry of Education (2010) What is Sexual Harassment?</w:t>
            </w:r>
          </w:p>
        </w:tc>
      </w:tr>
      <w:tr w:rsidR="00E63744" w:rsidRPr="00E63744" w14:paraId="3C63E1CB" w14:textId="77777777" w:rsidTr="00D03527">
        <w:tc>
          <w:tcPr>
            <w:tcW w:w="900" w:type="dxa"/>
            <w:tcMar>
              <w:top w:w="150" w:type="dxa"/>
              <w:left w:w="0" w:type="dxa"/>
              <w:bottom w:w="150" w:type="dxa"/>
              <w:right w:w="240" w:type="dxa"/>
            </w:tcMar>
            <w:vAlign w:val="center"/>
            <w:hideMark/>
          </w:tcPr>
          <w:p w14:paraId="588BBB50"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2020-04-01 00:00:00</w:t>
            </w:r>
          </w:p>
        </w:tc>
        <w:tc>
          <w:tcPr>
            <w:tcW w:w="2700" w:type="dxa"/>
            <w:tcMar>
              <w:top w:w="150" w:type="dxa"/>
              <w:left w:w="240" w:type="dxa"/>
              <w:bottom w:w="150" w:type="dxa"/>
              <w:right w:w="240" w:type="dxa"/>
            </w:tcMar>
            <w:vAlign w:val="center"/>
            <w:hideMark/>
          </w:tcPr>
          <w:p w14:paraId="039DCA5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Global Policy Framework / Guideline</w:t>
            </w:r>
          </w:p>
        </w:tc>
        <w:tc>
          <w:tcPr>
            <w:tcW w:w="4680" w:type="dxa"/>
            <w:tcMar>
              <w:top w:w="150" w:type="dxa"/>
              <w:left w:w="240" w:type="dxa"/>
              <w:bottom w:w="150" w:type="dxa"/>
              <w:right w:w="0" w:type="dxa"/>
            </w:tcMar>
            <w:vAlign w:val="center"/>
            <w:hideMark/>
          </w:tcPr>
          <w:p w14:paraId="576798F5"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UNICEF’s Core Commitments for Children (CCCs) in Humanitarian Action</w:t>
            </w:r>
          </w:p>
        </w:tc>
      </w:tr>
      <w:tr w:rsidR="00E63744" w:rsidRPr="00E63744" w14:paraId="79D254FD" w14:textId="77777777" w:rsidTr="00D03527">
        <w:tc>
          <w:tcPr>
            <w:tcW w:w="900" w:type="dxa"/>
            <w:tcMar>
              <w:top w:w="150" w:type="dxa"/>
              <w:left w:w="0" w:type="dxa"/>
              <w:bottom w:w="150" w:type="dxa"/>
              <w:right w:w="240" w:type="dxa"/>
            </w:tcMar>
            <w:vAlign w:val="center"/>
            <w:hideMark/>
          </w:tcPr>
          <w:p w14:paraId="5EDA0D1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2020-11-01 00:00:00</w:t>
            </w:r>
          </w:p>
        </w:tc>
        <w:tc>
          <w:tcPr>
            <w:tcW w:w="2700" w:type="dxa"/>
            <w:tcMar>
              <w:top w:w="150" w:type="dxa"/>
              <w:left w:w="240" w:type="dxa"/>
              <w:bottom w:w="150" w:type="dxa"/>
              <w:right w:w="240" w:type="dxa"/>
            </w:tcMar>
            <w:vAlign w:val="center"/>
            <w:hideMark/>
          </w:tcPr>
          <w:p w14:paraId="6E34740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Report</w:t>
            </w:r>
          </w:p>
        </w:tc>
        <w:tc>
          <w:tcPr>
            <w:tcW w:w="4680" w:type="dxa"/>
            <w:tcMar>
              <w:top w:w="150" w:type="dxa"/>
              <w:left w:w="240" w:type="dxa"/>
              <w:bottom w:w="150" w:type="dxa"/>
              <w:right w:w="0" w:type="dxa"/>
            </w:tcMar>
            <w:vAlign w:val="center"/>
            <w:hideMark/>
          </w:tcPr>
          <w:p w14:paraId="6D553B5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Focuses on adolescent SRH and HIV policies including: National Adolescent Sexual and Reproductive Health Policy (2015), Kenya AIDS Strategic Framework (2014/15–2018/19), and Kenya’s Fast-Track </w:t>
            </w:r>
            <w:r w:rsidRPr="00E63744">
              <w:rPr>
                <w:rFonts w:ascii="Segoe UI" w:eastAsia="Times New Roman" w:hAnsi="Segoe UI" w:cs="Segoe UI"/>
                <w:kern w:val="0"/>
                <w:sz w:val="23"/>
                <w:szCs w:val="23"/>
                <w14:ligatures w14:val="none"/>
              </w:rPr>
              <w:lastRenderedPageBreak/>
              <w:t>Plan to End HIV and AIDS among Adolescents and Young People (2015).</w:t>
            </w:r>
          </w:p>
        </w:tc>
      </w:tr>
      <w:tr w:rsidR="00E63744" w:rsidRPr="00E63744" w14:paraId="3E64D068" w14:textId="77777777" w:rsidTr="00D03527">
        <w:tc>
          <w:tcPr>
            <w:tcW w:w="900" w:type="dxa"/>
            <w:tcMar>
              <w:top w:w="150" w:type="dxa"/>
              <w:left w:w="0" w:type="dxa"/>
              <w:bottom w:w="150" w:type="dxa"/>
              <w:right w:w="240" w:type="dxa"/>
            </w:tcMar>
            <w:vAlign w:val="center"/>
            <w:hideMark/>
          </w:tcPr>
          <w:p w14:paraId="15136CC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lastRenderedPageBreak/>
              <w:t>2021</w:t>
            </w:r>
          </w:p>
        </w:tc>
        <w:tc>
          <w:tcPr>
            <w:tcW w:w="2700" w:type="dxa"/>
            <w:tcMar>
              <w:top w:w="150" w:type="dxa"/>
              <w:left w:w="240" w:type="dxa"/>
              <w:bottom w:w="150" w:type="dxa"/>
              <w:right w:w="240" w:type="dxa"/>
            </w:tcMar>
            <w:vAlign w:val="center"/>
            <w:hideMark/>
          </w:tcPr>
          <w:p w14:paraId="2540629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National Roadmap</w:t>
            </w:r>
          </w:p>
        </w:tc>
        <w:tc>
          <w:tcPr>
            <w:tcW w:w="4680" w:type="dxa"/>
            <w:tcMar>
              <w:top w:w="150" w:type="dxa"/>
              <w:left w:w="240" w:type="dxa"/>
              <w:bottom w:w="150" w:type="dxa"/>
              <w:right w:w="0" w:type="dxa"/>
            </w:tcMar>
            <w:vAlign w:val="center"/>
            <w:hideMark/>
          </w:tcPr>
          <w:p w14:paraId="3213D87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Kenya’s Generation Equality Forum (GEF) Commitments Framework on Gender-Based Violence and FGM</w:t>
            </w:r>
          </w:p>
        </w:tc>
      </w:tr>
      <w:tr w:rsidR="00E63744" w:rsidRPr="00E63744" w14:paraId="7AFDC052" w14:textId="77777777" w:rsidTr="00D03527">
        <w:tc>
          <w:tcPr>
            <w:tcW w:w="900" w:type="dxa"/>
            <w:tcMar>
              <w:top w:w="150" w:type="dxa"/>
              <w:left w:w="0" w:type="dxa"/>
              <w:bottom w:w="150" w:type="dxa"/>
              <w:right w:w="240" w:type="dxa"/>
            </w:tcMar>
            <w:vAlign w:val="center"/>
            <w:hideMark/>
          </w:tcPr>
          <w:p w14:paraId="3C9C0AE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2021</w:t>
            </w:r>
          </w:p>
        </w:tc>
        <w:tc>
          <w:tcPr>
            <w:tcW w:w="2700" w:type="dxa"/>
            <w:tcMar>
              <w:top w:w="150" w:type="dxa"/>
              <w:left w:w="240" w:type="dxa"/>
              <w:bottom w:w="150" w:type="dxa"/>
              <w:right w:w="240" w:type="dxa"/>
            </w:tcMar>
            <w:vAlign w:val="center"/>
            <w:hideMark/>
          </w:tcPr>
          <w:p w14:paraId="495C54E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Blog</w:t>
            </w:r>
          </w:p>
        </w:tc>
        <w:tc>
          <w:tcPr>
            <w:tcW w:w="4680" w:type="dxa"/>
            <w:tcMar>
              <w:top w:w="150" w:type="dxa"/>
              <w:left w:w="240" w:type="dxa"/>
              <w:bottom w:w="150" w:type="dxa"/>
              <w:right w:w="0" w:type="dxa"/>
            </w:tcMar>
            <w:vAlign w:val="center"/>
            <w:hideMark/>
          </w:tcPr>
          <w:p w14:paraId="7632193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“Keep Her Safe” Advocacy Strategy and the proposed Nairobi County GBV Control and Management Bill</w:t>
            </w:r>
          </w:p>
        </w:tc>
      </w:tr>
      <w:tr w:rsidR="00E63744" w:rsidRPr="00E63744" w14:paraId="74F2CFCC" w14:textId="77777777" w:rsidTr="00D03527">
        <w:tc>
          <w:tcPr>
            <w:tcW w:w="900" w:type="dxa"/>
            <w:tcMar>
              <w:top w:w="150" w:type="dxa"/>
              <w:left w:w="0" w:type="dxa"/>
              <w:bottom w:w="150" w:type="dxa"/>
              <w:right w:w="240" w:type="dxa"/>
            </w:tcMar>
            <w:vAlign w:val="center"/>
            <w:hideMark/>
          </w:tcPr>
          <w:p w14:paraId="73C8014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2021</w:t>
            </w:r>
          </w:p>
        </w:tc>
        <w:tc>
          <w:tcPr>
            <w:tcW w:w="2700" w:type="dxa"/>
            <w:tcMar>
              <w:top w:w="150" w:type="dxa"/>
              <w:left w:w="240" w:type="dxa"/>
              <w:bottom w:w="150" w:type="dxa"/>
              <w:right w:w="240" w:type="dxa"/>
            </w:tcMar>
            <w:vAlign w:val="center"/>
            <w:hideMark/>
          </w:tcPr>
          <w:p w14:paraId="5AE6B605"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Organizational Report / Newsletter (Program Highlights and Policy Advocacy Summary)</w:t>
            </w:r>
          </w:p>
        </w:tc>
        <w:tc>
          <w:tcPr>
            <w:tcW w:w="4680" w:type="dxa"/>
            <w:tcMar>
              <w:top w:w="150" w:type="dxa"/>
              <w:left w:w="240" w:type="dxa"/>
              <w:bottom w:w="150" w:type="dxa"/>
              <w:right w:w="0" w:type="dxa"/>
            </w:tcMar>
            <w:vAlign w:val="center"/>
            <w:hideMark/>
          </w:tcPr>
          <w:p w14:paraId="5FE1CFE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Focus areas include:</w:t>
            </w:r>
            <w:r w:rsidRPr="00E63744">
              <w:rPr>
                <w:rFonts w:ascii="Segoe UI" w:eastAsia="Times New Roman" w:hAnsi="Segoe UI" w:cs="Segoe UI"/>
                <w:kern w:val="0"/>
                <w:sz w:val="23"/>
                <w:szCs w:val="23"/>
                <w14:ligatures w14:val="none"/>
              </w:rPr>
              <w:br/>
              <w:t>• Break Free Program</w:t>
            </w:r>
            <w:r w:rsidRPr="00E63744">
              <w:rPr>
                <w:rFonts w:ascii="Segoe UI" w:eastAsia="Times New Roman" w:hAnsi="Segoe UI" w:cs="Segoe UI"/>
                <w:kern w:val="0"/>
                <w:sz w:val="23"/>
                <w:szCs w:val="23"/>
                <w14:ligatures w14:val="none"/>
              </w:rPr>
              <w:br/>
              <w:t xml:space="preserve">• </w:t>
            </w:r>
            <w:proofErr w:type="spellStart"/>
            <w:r w:rsidRPr="00E63744">
              <w:rPr>
                <w:rFonts w:ascii="Segoe UI" w:eastAsia="Times New Roman" w:hAnsi="Segoe UI" w:cs="Segoe UI"/>
                <w:kern w:val="0"/>
                <w:sz w:val="23"/>
                <w:szCs w:val="23"/>
                <w14:ligatures w14:val="none"/>
              </w:rPr>
              <w:t>Tuseme</w:t>
            </w:r>
            <w:proofErr w:type="spellEnd"/>
            <w:r w:rsidRPr="00E63744">
              <w:rPr>
                <w:rFonts w:ascii="Segoe UI" w:eastAsia="Times New Roman" w:hAnsi="Segoe UI" w:cs="Segoe UI"/>
                <w:kern w:val="0"/>
                <w:sz w:val="23"/>
                <w:szCs w:val="23"/>
                <w14:ligatures w14:val="none"/>
              </w:rPr>
              <w:t xml:space="preserve"> Dada Initiative</w:t>
            </w:r>
            <w:r w:rsidRPr="00E63744">
              <w:rPr>
                <w:rFonts w:ascii="Segoe UI" w:eastAsia="Times New Roman" w:hAnsi="Segoe UI" w:cs="Segoe UI"/>
                <w:kern w:val="0"/>
                <w:sz w:val="23"/>
                <w:szCs w:val="23"/>
                <w14:ligatures w14:val="none"/>
              </w:rPr>
              <w:br/>
              <w:t>• Safeguarding and Duty of Care Guidelines</w:t>
            </w:r>
            <w:r w:rsidRPr="00E63744">
              <w:rPr>
                <w:rFonts w:ascii="Segoe UI" w:eastAsia="Times New Roman" w:hAnsi="Segoe UI" w:cs="Segoe UI"/>
                <w:kern w:val="0"/>
                <w:sz w:val="23"/>
                <w:szCs w:val="23"/>
                <w14:ligatures w14:val="none"/>
              </w:rPr>
              <w:br/>
              <w:t>• Data-Driven Advocacy for Girls’ Education in Emergencies</w:t>
            </w:r>
            <w:r w:rsidRPr="00E63744">
              <w:rPr>
                <w:rFonts w:ascii="Segoe UI" w:eastAsia="Times New Roman" w:hAnsi="Segoe UI" w:cs="Segoe UI"/>
                <w:kern w:val="0"/>
                <w:sz w:val="23"/>
                <w:szCs w:val="23"/>
                <w14:ligatures w14:val="none"/>
              </w:rPr>
              <w:br/>
              <w:t>• STEM for Girls Program</w:t>
            </w:r>
          </w:p>
        </w:tc>
      </w:tr>
      <w:tr w:rsidR="00E63744" w:rsidRPr="00E63744" w14:paraId="7015731C" w14:textId="77777777" w:rsidTr="00D03527">
        <w:tc>
          <w:tcPr>
            <w:tcW w:w="900" w:type="dxa"/>
            <w:tcMar>
              <w:top w:w="150" w:type="dxa"/>
              <w:left w:w="0" w:type="dxa"/>
              <w:bottom w:w="150" w:type="dxa"/>
              <w:right w:w="240" w:type="dxa"/>
            </w:tcMar>
            <w:vAlign w:val="center"/>
            <w:hideMark/>
          </w:tcPr>
          <w:p w14:paraId="221ACC5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2022</w:t>
            </w:r>
          </w:p>
        </w:tc>
        <w:tc>
          <w:tcPr>
            <w:tcW w:w="2700" w:type="dxa"/>
            <w:tcMar>
              <w:top w:w="150" w:type="dxa"/>
              <w:left w:w="240" w:type="dxa"/>
              <w:bottom w:w="150" w:type="dxa"/>
              <w:right w:w="240" w:type="dxa"/>
            </w:tcMar>
            <w:vAlign w:val="center"/>
            <w:hideMark/>
          </w:tcPr>
          <w:p w14:paraId="791E93A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Legislation / Act of Parliament</w:t>
            </w:r>
          </w:p>
        </w:tc>
        <w:tc>
          <w:tcPr>
            <w:tcW w:w="4680" w:type="dxa"/>
            <w:tcMar>
              <w:top w:w="150" w:type="dxa"/>
              <w:left w:w="240" w:type="dxa"/>
              <w:bottom w:w="150" w:type="dxa"/>
              <w:right w:w="0" w:type="dxa"/>
            </w:tcMar>
            <w:vAlign w:val="center"/>
            <w:hideMark/>
          </w:tcPr>
          <w:p w14:paraId="25134A4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Children's Act</w:t>
            </w:r>
          </w:p>
        </w:tc>
      </w:tr>
      <w:tr w:rsidR="00E63744" w:rsidRPr="00E63744" w14:paraId="486936AE" w14:textId="77777777" w:rsidTr="00D03527">
        <w:tc>
          <w:tcPr>
            <w:tcW w:w="900" w:type="dxa"/>
            <w:tcMar>
              <w:top w:w="150" w:type="dxa"/>
              <w:left w:w="0" w:type="dxa"/>
              <w:bottom w:w="150" w:type="dxa"/>
              <w:right w:w="240" w:type="dxa"/>
            </w:tcMar>
            <w:vAlign w:val="center"/>
            <w:hideMark/>
          </w:tcPr>
          <w:p w14:paraId="01EDF9E7"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2022</w:t>
            </w:r>
          </w:p>
        </w:tc>
        <w:tc>
          <w:tcPr>
            <w:tcW w:w="2700" w:type="dxa"/>
            <w:tcMar>
              <w:top w:w="150" w:type="dxa"/>
              <w:left w:w="240" w:type="dxa"/>
              <w:bottom w:w="150" w:type="dxa"/>
              <w:right w:w="240" w:type="dxa"/>
            </w:tcMar>
            <w:vAlign w:val="center"/>
            <w:hideMark/>
          </w:tcPr>
          <w:p w14:paraId="2198C8C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Blog Series / Policy Analysis and Advocacy Review</w:t>
            </w:r>
          </w:p>
        </w:tc>
        <w:tc>
          <w:tcPr>
            <w:tcW w:w="4680" w:type="dxa"/>
            <w:tcMar>
              <w:top w:w="150" w:type="dxa"/>
              <w:left w:w="240" w:type="dxa"/>
              <w:bottom w:w="150" w:type="dxa"/>
              <w:right w:w="0" w:type="dxa"/>
            </w:tcMar>
            <w:vAlign w:val="center"/>
            <w:hideMark/>
          </w:tcPr>
          <w:p w14:paraId="7D5BDE3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National Guidelines for School Re-entry in Kenya (2020)</w:t>
            </w:r>
            <w:r w:rsidRPr="00E63744">
              <w:rPr>
                <w:rFonts w:ascii="Segoe UI" w:eastAsia="Times New Roman" w:hAnsi="Segoe UI" w:cs="Segoe UI"/>
                <w:kern w:val="0"/>
                <w:sz w:val="23"/>
                <w:szCs w:val="23"/>
                <w14:ligatures w14:val="none"/>
              </w:rPr>
              <w:br/>
              <w:t>- UNGEI/UNESCO Whole School Approach to Prevent SRGBV (2018)</w:t>
            </w:r>
            <w:r w:rsidRPr="00E63744">
              <w:rPr>
                <w:rFonts w:ascii="Segoe UI" w:eastAsia="Times New Roman" w:hAnsi="Segoe UI" w:cs="Segoe UI"/>
                <w:kern w:val="0"/>
                <w:sz w:val="23"/>
                <w:szCs w:val="23"/>
                <w14:ligatures w14:val="none"/>
              </w:rPr>
              <w:br/>
              <w:t>- Connect with Respect Toolkit for Educators</w:t>
            </w:r>
            <w:r w:rsidRPr="00E63744">
              <w:rPr>
                <w:rFonts w:ascii="Segoe UI" w:eastAsia="Times New Roman" w:hAnsi="Segoe UI" w:cs="Segoe UI"/>
                <w:kern w:val="0"/>
                <w:sz w:val="23"/>
                <w:szCs w:val="23"/>
                <w14:ligatures w14:val="none"/>
              </w:rPr>
              <w:br/>
              <w:t>- Safe to Learn Campaign</w:t>
            </w:r>
          </w:p>
        </w:tc>
      </w:tr>
      <w:tr w:rsidR="00E63744" w:rsidRPr="00E63744" w14:paraId="78E3C354" w14:textId="77777777" w:rsidTr="00D03527">
        <w:tc>
          <w:tcPr>
            <w:tcW w:w="900" w:type="dxa"/>
            <w:tcMar>
              <w:top w:w="150" w:type="dxa"/>
              <w:left w:w="0" w:type="dxa"/>
              <w:bottom w:w="150" w:type="dxa"/>
              <w:right w:w="240" w:type="dxa"/>
            </w:tcMar>
            <w:vAlign w:val="center"/>
            <w:hideMark/>
          </w:tcPr>
          <w:p w14:paraId="0763825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2022</w:t>
            </w:r>
          </w:p>
        </w:tc>
        <w:tc>
          <w:tcPr>
            <w:tcW w:w="2700" w:type="dxa"/>
            <w:tcMar>
              <w:top w:w="150" w:type="dxa"/>
              <w:left w:w="240" w:type="dxa"/>
              <w:bottom w:w="150" w:type="dxa"/>
              <w:right w:w="240" w:type="dxa"/>
            </w:tcMar>
            <w:vAlign w:val="center"/>
            <w:hideMark/>
          </w:tcPr>
          <w:p w14:paraId="0F8CD26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and Evaluation Report</w:t>
            </w:r>
          </w:p>
        </w:tc>
        <w:tc>
          <w:tcPr>
            <w:tcW w:w="4680" w:type="dxa"/>
            <w:tcMar>
              <w:top w:w="150" w:type="dxa"/>
              <w:left w:w="240" w:type="dxa"/>
              <w:bottom w:w="150" w:type="dxa"/>
              <w:right w:w="0" w:type="dxa"/>
            </w:tcMar>
            <w:vAlign w:val="center"/>
            <w:hideMark/>
          </w:tcPr>
          <w:p w14:paraId="287057C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UNGEI's Whole-School Approach to Preventing School-Related</w:t>
            </w:r>
            <w:r w:rsidRPr="00E63744">
              <w:rPr>
                <w:rFonts w:ascii="Segoe UI" w:eastAsia="Times New Roman" w:hAnsi="Segoe UI" w:cs="Segoe UI"/>
                <w:kern w:val="0"/>
                <w:sz w:val="23"/>
                <w:szCs w:val="23"/>
                <w14:ligatures w14:val="none"/>
              </w:rPr>
              <w:br/>
              <w:t>Gender-Based Violence 2018.</w:t>
            </w:r>
          </w:p>
        </w:tc>
      </w:tr>
      <w:tr w:rsidR="00E63744" w:rsidRPr="00E63744" w14:paraId="33AFA749" w14:textId="77777777" w:rsidTr="00D03527">
        <w:tc>
          <w:tcPr>
            <w:tcW w:w="900" w:type="dxa"/>
            <w:tcMar>
              <w:top w:w="150" w:type="dxa"/>
              <w:left w:w="0" w:type="dxa"/>
              <w:bottom w:w="150" w:type="dxa"/>
              <w:right w:w="240" w:type="dxa"/>
            </w:tcMar>
            <w:vAlign w:val="center"/>
            <w:hideMark/>
          </w:tcPr>
          <w:p w14:paraId="54C97882"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lastRenderedPageBreak/>
              <w:t>2023</w:t>
            </w:r>
          </w:p>
        </w:tc>
        <w:tc>
          <w:tcPr>
            <w:tcW w:w="2700" w:type="dxa"/>
            <w:tcMar>
              <w:top w:w="150" w:type="dxa"/>
              <w:left w:w="240" w:type="dxa"/>
              <w:bottom w:w="150" w:type="dxa"/>
              <w:right w:w="240" w:type="dxa"/>
            </w:tcMar>
            <w:vAlign w:val="center"/>
            <w:hideMark/>
          </w:tcPr>
          <w:p w14:paraId="5020EAF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Organizational Report / Annual Newsletter</w:t>
            </w:r>
          </w:p>
        </w:tc>
        <w:tc>
          <w:tcPr>
            <w:tcW w:w="4680" w:type="dxa"/>
            <w:tcMar>
              <w:top w:w="150" w:type="dxa"/>
              <w:left w:w="240" w:type="dxa"/>
              <w:bottom w:w="150" w:type="dxa"/>
              <w:right w:w="0" w:type="dxa"/>
            </w:tcMar>
            <w:vAlign w:val="center"/>
            <w:hideMark/>
          </w:tcPr>
          <w:p w14:paraId="19E2FA7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Focuses on several FAWE Kenya </w:t>
            </w:r>
            <w:proofErr w:type="spellStart"/>
            <w:r w:rsidRPr="00E63744">
              <w:rPr>
                <w:rFonts w:ascii="Segoe UI" w:eastAsia="Times New Roman" w:hAnsi="Segoe UI" w:cs="Segoe UI"/>
                <w:kern w:val="0"/>
                <w:sz w:val="23"/>
                <w:szCs w:val="23"/>
                <w14:ligatures w14:val="none"/>
              </w:rPr>
              <w:t>programmes</w:t>
            </w:r>
            <w:proofErr w:type="spellEnd"/>
            <w:r w:rsidRPr="00E63744">
              <w:rPr>
                <w:rFonts w:ascii="Segoe UI" w:eastAsia="Times New Roman" w:hAnsi="Segoe UI" w:cs="Segoe UI"/>
                <w:kern w:val="0"/>
                <w:sz w:val="23"/>
                <w:szCs w:val="23"/>
                <w14:ligatures w14:val="none"/>
              </w:rPr>
              <w:t xml:space="preserve"> aligned to national and global policies: </w:t>
            </w:r>
            <w:proofErr w:type="spellStart"/>
            <w:r w:rsidRPr="00E63744">
              <w:rPr>
                <w:rFonts w:ascii="Segoe UI" w:eastAsia="Times New Roman" w:hAnsi="Segoe UI" w:cs="Segoe UI"/>
                <w:kern w:val="0"/>
                <w:sz w:val="23"/>
                <w:szCs w:val="23"/>
                <w14:ligatures w14:val="none"/>
              </w:rPr>
              <w:t>Imarisha</w:t>
            </w:r>
            <w:proofErr w:type="spellEnd"/>
            <w:r w:rsidRPr="00E63744">
              <w:rPr>
                <w:rFonts w:ascii="Segoe UI" w:eastAsia="Times New Roman" w:hAnsi="Segoe UI" w:cs="Segoe UI"/>
                <w:kern w:val="0"/>
                <w:sz w:val="23"/>
                <w:szCs w:val="23"/>
                <w14:ligatures w14:val="none"/>
              </w:rPr>
              <w:t xml:space="preserve"> </w:t>
            </w:r>
            <w:proofErr w:type="spellStart"/>
            <w:r w:rsidRPr="00E63744">
              <w:rPr>
                <w:rFonts w:ascii="Segoe UI" w:eastAsia="Times New Roman" w:hAnsi="Segoe UI" w:cs="Segoe UI"/>
                <w:kern w:val="0"/>
                <w:sz w:val="23"/>
                <w:szCs w:val="23"/>
                <w14:ligatures w14:val="none"/>
              </w:rPr>
              <w:t>Msichana</w:t>
            </w:r>
            <w:proofErr w:type="spellEnd"/>
            <w:r w:rsidRPr="00E63744">
              <w:rPr>
                <w:rFonts w:ascii="Segoe UI" w:eastAsia="Times New Roman" w:hAnsi="Segoe UI" w:cs="Segoe UI"/>
                <w:kern w:val="0"/>
                <w:sz w:val="23"/>
                <w:szCs w:val="23"/>
                <w14:ligatures w14:val="none"/>
              </w:rPr>
              <w:t xml:space="preserve">, </w:t>
            </w:r>
            <w:proofErr w:type="spellStart"/>
            <w:r w:rsidRPr="00E63744">
              <w:rPr>
                <w:rFonts w:ascii="Segoe UI" w:eastAsia="Times New Roman" w:hAnsi="Segoe UI" w:cs="Segoe UI"/>
                <w:kern w:val="0"/>
                <w:sz w:val="23"/>
                <w:szCs w:val="23"/>
                <w14:ligatures w14:val="none"/>
              </w:rPr>
              <w:t>Haki</w:t>
            </w:r>
            <w:proofErr w:type="spellEnd"/>
            <w:r w:rsidRPr="00E63744">
              <w:rPr>
                <w:rFonts w:ascii="Segoe UI" w:eastAsia="Times New Roman" w:hAnsi="Segoe UI" w:cs="Segoe UI"/>
                <w:kern w:val="0"/>
                <w:sz w:val="23"/>
                <w:szCs w:val="23"/>
                <w14:ligatures w14:val="none"/>
              </w:rPr>
              <w:t xml:space="preserve"> </w:t>
            </w:r>
            <w:proofErr w:type="spellStart"/>
            <w:r w:rsidRPr="00E63744">
              <w:rPr>
                <w:rFonts w:ascii="Segoe UI" w:eastAsia="Times New Roman" w:hAnsi="Segoe UI" w:cs="Segoe UI"/>
                <w:kern w:val="0"/>
                <w:sz w:val="23"/>
                <w:szCs w:val="23"/>
                <w14:ligatures w14:val="none"/>
              </w:rPr>
              <w:t>Yangu</w:t>
            </w:r>
            <w:proofErr w:type="spellEnd"/>
            <w:r w:rsidRPr="00E63744">
              <w:rPr>
                <w:rFonts w:ascii="Segoe UI" w:eastAsia="Times New Roman" w:hAnsi="Segoe UI" w:cs="Segoe UI"/>
                <w:kern w:val="0"/>
                <w:sz w:val="23"/>
                <w:szCs w:val="23"/>
                <w14:ligatures w14:val="none"/>
              </w:rPr>
              <w:t xml:space="preserve">, </w:t>
            </w:r>
            <w:proofErr w:type="spellStart"/>
            <w:r w:rsidRPr="00E63744">
              <w:rPr>
                <w:rFonts w:ascii="Segoe UI" w:eastAsia="Times New Roman" w:hAnsi="Segoe UI" w:cs="Segoe UI"/>
                <w:kern w:val="0"/>
                <w:sz w:val="23"/>
                <w:szCs w:val="23"/>
                <w14:ligatures w14:val="none"/>
              </w:rPr>
              <w:t>Tamatisha</w:t>
            </w:r>
            <w:proofErr w:type="spellEnd"/>
            <w:r w:rsidRPr="00E63744">
              <w:rPr>
                <w:rFonts w:ascii="Segoe UI" w:eastAsia="Times New Roman" w:hAnsi="Segoe UI" w:cs="Segoe UI"/>
                <w:kern w:val="0"/>
                <w:sz w:val="23"/>
                <w:szCs w:val="23"/>
                <w14:ligatures w14:val="none"/>
              </w:rPr>
              <w:t>, Break Free, and Make Way — all promoting gender equality, SRHR, and girls’ education in Kenya.</w:t>
            </w:r>
          </w:p>
        </w:tc>
      </w:tr>
      <w:tr w:rsidR="00E63744" w:rsidRPr="00E63744" w14:paraId="7F3ADA73" w14:textId="77777777" w:rsidTr="00D03527">
        <w:tc>
          <w:tcPr>
            <w:tcW w:w="900" w:type="dxa"/>
            <w:tcMar>
              <w:top w:w="150" w:type="dxa"/>
              <w:left w:w="0" w:type="dxa"/>
              <w:bottom w:w="150" w:type="dxa"/>
              <w:right w:w="240" w:type="dxa"/>
            </w:tcMar>
            <w:vAlign w:val="center"/>
            <w:hideMark/>
          </w:tcPr>
          <w:p w14:paraId="74B15F40"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2023</w:t>
            </w:r>
          </w:p>
        </w:tc>
        <w:tc>
          <w:tcPr>
            <w:tcW w:w="2700" w:type="dxa"/>
            <w:tcMar>
              <w:top w:w="150" w:type="dxa"/>
              <w:left w:w="240" w:type="dxa"/>
              <w:bottom w:w="150" w:type="dxa"/>
              <w:right w:w="240" w:type="dxa"/>
            </w:tcMar>
            <w:vAlign w:val="center"/>
            <w:hideMark/>
          </w:tcPr>
          <w:p w14:paraId="53A0223E"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Government Progress Report / Policy Implementation Update</w:t>
            </w:r>
          </w:p>
        </w:tc>
        <w:tc>
          <w:tcPr>
            <w:tcW w:w="4680" w:type="dxa"/>
            <w:tcMar>
              <w:top w:w="150" w:type="dxa"/>
              <w:left w:w="240" w:type="dxa"/>
              <w:bottom w:w="150" w:type="dxa"/>
              <w:right w:w="0" w:type="dxa"/>
            </w:tcMar>
            <w:vAlign w:val="center"/>
            <w:hideMark/>
          </w:tcPr>
          <w:p w14:paraId="414E9870"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Kenya’s 12 Generation Equality Forum (GEF) Commitments on Gender-Based Violence (GBV) (2021–2026)</w:t>
            </w:r>
          </w:p>
        </w:tc>
      </w:tr>
      <w:tr w:rsidR="00E63744" w:rsidRPr="00E63744" w14:paraId="51529A6F" w14:textId="77777777" w:rsidTr="00D03527">
        <w:tc>
          <w:tcPr>
            <w:tcW w:w="900" w:type="dxa"/>
            <w:tcMar>
              <w:top w:w="150" w:type="dxa"/>
              <w:left w:w="0" w:type="dxa"/>
              <w:bottom w:w="150" w:type="dxa"/>
              <w:right w:w="240" w:type="dxa"/>
            </w:tcMar>
            <w:vAlign w:val="center"/>
            <w:hideMark/>
          </w:tcPr>
          <w:p w14:paraId="0FDB5ED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2023</w:t>
            </w:r>
          </w:p>
        </w:tc>
        <w:tc>
          <w:tcPr>
            <w:tcW w:w="2700" w:type="dxa"/>
            <w:tcMar>
              <w:top w:w="150" w:type="dxa"/>
              <w:left w:w="240" w:type="dxa"/>
              <w:bottom w:w="150" w:type="dxa"/>
              <w:right w:w="240" w:type="dxa"/>
            </w:tcMar>
            <w:vAlign w:val="center"/>
            <w:hideMark/>
          </w:tcPr>
          <w:p w14:paraId="6DD2620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Strategic Plan</w:t>
            </w:r>
          </w:p>
        </w:tc>
        <w:tc>
          <w:tcPr>
            <w:tcW w:w="4680" w:type="dxa"/>
            <w:tcMar>
              <w:top w:w="150" w:type="dxa"/>
              <w:left w:w="240" w:type="dxa"/>
              <w:bottom w:w="150" w:type="dxa"/>
              <w:right w:w="0" w:type="dxa"/>
            </w:tcMar>
            <w:vAlign w:val="center"/>
            <w:hideMark/>
          </w:tcPr>
          <w:p w14:paraId="3B0887E8"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This is an education sector-wide document guided by 10 policies and laws governing the provision of education in Kenya. </w:t>
            </w:r>
            <w:proofErr w:type="gramStart"/>
            <w:r w:rsidRPr="00E63744">
              <w:rPr>
                <w:rFonts w:ascii="Segoe UI" w:eastAsia="Times New Roman" w:hAnsi="Segoe UI" w:cs="Segoe UI"/>
                <w:kern w:val="0"/>
                <w:sz w:val="23"/>
                <w:szCs w:val="23"/>
                <w14:ligatures w14:val="none"/>
              </w:rPr>
              <w:t>Mentions :The</w:t>
            </w:r>
            <w:proofErr w:type="gramEnd"/>
            <w:r w:rsidRPr="00E63744">
              <w:rPr>
                <w:rFonts w:ascii="Segoe UI" w:eastAsia="Times New Roman" w:hAnsi="Segoe UI" w:cs="Segoe UI"/>
                <w:kern w:val="0"/>
                <w:sz w:val="23"/>
                <w:szCs w:val="23"/>
                <w14:ligatures w14:val="none"/>
              </w:rPr>
              <w:t xml:space="preserve"> Children Act, 2022 , Basic Education Act of 2013, The Constitution of Kenya Articles 43, 53, 54, 55, 56, 57, and 59.</w:t>
            </w:r>
          </w:p>
        </w:tc>
      </w:tr>
      <w:tr w:rsidR="00E63744" w:rsidRPr="00E63744" w14:paraId="4F16F5AF" w14:textId="77777777" w:rsidTr="00D03527">
        <w:tc>
          <w:tcPr>
            <w:tcW w:w="900" w:type="dxa"/>
            <w:tcMar>
              <w:top w:w="150" w:type="dxa"/>
              <w:left w:w="0" w:type="dxa"/>
              <w:bottom w:w="150" w:type="dxa"/>
              <w:right w:w="240" w:type="dxa"/>
            </w:tcMar>
            <w:vAlign w:val="center"/>
            <w:hideMark/>
          </w:tcPr>
          <w:p w14:paraId="68FB7547"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2024 (original Act 2006; amendments up to 2024)</w:t>
            </w:r>
          </w:p>
        </w:tc>
        <w:tc>
          <w:tcPr>
            <w:tcW w:w="2700" w:type="dxa"/>
            <w:tcMar>
              <w:top w:w="150" w:type="dxa"/>
              <w:left w:w="240" w:type="dxa"/>
              <w:bottom w:w="150" w:type="dxa"/>
              <w:right w:w="240" w:type="dxa"/>
            </w:tcMar>
            <w:vAlign w:val="center"/>
            <w:hideMark/>
          </w:tcPr>
          <w:p w14:paraId="11CF26A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Act of Parliament / Legislation</w:t>
            </w:r>
          </w:p>
        </w:tc>
        <w:tc>
          <w:tcPr>
            <w:tcW w:w="4680" w:type="dxa"/>
            <w:tcMar>
              <w:top w:w="150" w:type="dxa"/>
              <w:left w:w="240" w:type="dxa"/>
              <w:bottom w:w="150" w:type="dxa"/>
              <w:right w:w="0" w:type="dxa"/>
            </w:tcMar>
            <w:vAlign w:val="center"/>
            <w:hideMark/>
          </w:tcPr>
          <w:p w14:paraId="530A597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Sexual Offences Act_No3 of2006 Revised Edition 2024</w:t>
            </w:r>
          </w:p>
        </w:tc>
      </w:tr>
      <w:tr w:rsidR="00E63744" w:rsidRPr="00E63744" w14:paraId="3760588C" w14:textId="77777777" w:rsidTr="00D03527">
        <w:tc>
          <w:tcPr>
            <w:tcW w:w="900" w:type="dxa"/>
            <w:tcMar>
              <w:top w:w="150" w:type="dxa"/>
              <w:left w:w="0" w:type="dxa"/>
              <w:bottom w:w="150" w:type="dxa"/>
              <w:right w:w="240" w:type="dxa"/>
            </w:tcMar>
            <w:vAlign w:val="center"/>
            <w:hideMark/>
          </w:tcPr>
          <w:p w14:paraId="3EDC110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2024</w:t>
            </w:r>
          </w:p>
        </w:tc>
        <w:tc>
          <w:tcPr>
            <w:tcW w:w="2700" w:type="dxa"/>
            <w:tcMar>
              <w:top w:w="150" w:type="dxa"/>
              <w:left w:w="240" w:type="dxa"/>
              <w:bottom w:w="150" w:type="dxa"/>
              <w:right w:w="240" w:type="dxa"/>
            </w:tcMar>
            <w:vAlign w:val="center"/>
            <w:hideMark/>
          </w:tcPr>
          <w:p w14:paraId="1B869E00"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Policy Brief</w:t>
            </w:r>
          </w:p>
        </w:tc>
        <w:tc>
          <w:tcPr>
            <w:tcW w:w="4680" w:type="dxa"/>
            <w:tcMar>
              <w:top w:w="150" w:type="dxa"/>
              <w:left w:w="240" w:type="dxa"/>
              <w:bottom w:w="150" w:type="dxa"/>
              <w:right w:w="0" w:type="dxa"/>
            </w:tcMar>
            <w:vAlign w:val="center"/>
            <w:hideMark/>
          </w:tcPr>
          <w:p w14:paraId="1668390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Policy Brief on SRGBV in Kenya: Gaps and Recommendations</w:t>
            </w:r>
          </w:p>
        </w:tc>
      </w:tr>
      <w:tr w:rsidR="00E63744" w:rsidRPr="00E63744" w14:paraId="69892A8F" w14:textId="77777777" w:rsidTr="00D03527">
        <w:tc>
          <w:tcPr>
            <w:tcW w:w="900" w:type="dxa"/>
            <w:tcMar>
              <w:top w:w="150" w:type="dxa"/>
              <w:left w:w="0" w:type="dxa"/>
              <w:bottom w:w="150" w:type="dxa"/>
              <w:right w:w="240" w:type="dxa"/>
            </w:tcMar>
            <w:vAlign w:val="center"/>
            <w:hideMark/>
          </w:tcPr>
          <w:p w14:paraId="0631C3A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lastRenderedPageBreak/>
              <w:t>2024</w:t>
            </w:r>
          </w:p>
        </w:tc>
        <w:tc>
          <w:tcPr>
            <w:tcW w:w="2700" w:type="dxa"/>
            <w:tcMar>
              <w:top w:w="150" w:type="dxa"/>
              <w:left w:w="240" w:type="dxa"/>
              <w:bottom w:w="150" w:type="dxa"/>
              <w:right w:w="240" w:type="dxa"/>
            </w:tcMar>
            <w:vAlign w:val="center"/>
            <w:hideMark/>
          </w:tcPr>
          <w:p w14:paraId="3E2AF059"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Blog</w:t>
            </w:r>
          </w:p>
        </w:tc>
        <w:tc>
          <w:tcPr>
            <w:tcW w:w="4680" w:type="dxa"/>
            <w:tcMar>
              <w:top w:w="150" w:type="dxa"/>
              <w:left w:w="240" w:type="dxa"/>
              <w:bottom w:w="150" w:type="dxa"/>
              <w:right w:w="0" w:type="dxa"/>
            </w:tcMar>
            <w:vAlign w:val="center"/>
            <w:hideMark/>
          </w:tcPr>
          <w:p w14:paraId="10535FA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Let Girls Thrive (LGT) Project and Boys and Girls Safe Spaces Partnership Initiative</w:t>
            </w:r>
          </w:p>
        </w:tc>
      </w:tr>
      <w:tr w:rsidR="00E63744" w:rsidRPr="00E63744" w14:paraId="44487965" w14:textId="77777777" w:rsidTr="00D03527">
        <w:tc>
          <w:tcPr>
            <w:tcW w:w="900" w:type="dxa"/>
            <w:tcMar>
              <w:top w:w="150" w:type="dxa"/>
              <w:left w:w="0" w:type="dxa"/>
              <w:bottom w:w="150" w:type="dxa"/>
              <w:right w:w="240" w:type="dxa"/>
            </w:tcMar>
            <w:vAlign w:val="center"/>
            <w:hideMark/>
          </w:tcPr>
          <w:p w14:paraId="4E32A62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2024 (Phase II implementation)</w:t>
            </w:r>
          </w:p>
        </w:tc>
        <w:tc>
          <w:tcPr>
            <w:tcW w:w="2700" w:type="dxa"/>
            <w:tcMar>
              <w:top w:w="150" w:type="dxa"/>
              <w:left w:w="240" w:type="dxa"/>
              <w:bottom w:w="150" w:type="dxa"/>
              <w:right w:w="240" w:type="dxa"/>
            </w:tcMar>
            <w:vAlign w:val="center"/>
            <w:hideMark/>
          </w:tcPr>
          <w:p w14:paraId="081E4B0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Blog</w:t>
            </w:r>
          </w:p>
        </w:tc>
        <w:tc>
          <w:tcPr>
            <w:tcW w:w="4680" w:type="dxa"/>
            <w:tcMar>
              <w:top w:w="150" w:type="dxa"/>
              <w:left w:w="240" w:type="dxa"/>
              <w:bottom w:w="150" w:type="dxa"/>
              <w:right w:w="0" w:type="dxa"/>
            </w:tcMar>
            <w:vAlign w:val="center"/>
            <w:hideMark/>
          </w:tcPr>
          <w:p w14:paraId="0D31A30A"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Let Girls Thrive (LGT) Project; aligns with the Convention on the Rights of the Child (CRC), CEDAW, and the Declaration on the Elimination of Violence Against Women (VAW)</w:t>
            </w:r>
          </w:p>
        </w:tc>
      </w:tr>
      <w:tr w:rsidR="00E63744" w:rsidRPr="00E63744" w14:paraId="3BCFD2D6" w14:textId="77777777" w:rsidTr="00D03527">
        <w:tc>
          <w:tcPr>
            <w:tcW w:w="900" w:type="dxa"/>
            <w:tcMar>
              <w:top w:w="150" w:type="dxa"/>
              <w:left w:w="0" w:type="dxa"/>
              <w:bottom w:w="150" w:type="dxa"/>
              <w:right w:w="240" w:type="dxa"/>
            </w:tcMar>
            <w:vAlign w:val="center"/>
            <w:hideMark/>
          </w:tcPr>
          <w:p w14:paraId="2B65EB76"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2025</w:t>
            </w:r>
          </w:p>
        </w:tc>
        <w:tc>
          <w:tcPr>
            <w:tcW w:w="2700" w:type="dxa"/>
            <w:tcMar>
              <w:top w:w="150" w:type="dxa"/>
              <w:left w:w="240" w:type="dxa"/>
              <w:bottom w:w="150" w:type="dxa"/>
              <w:right w:w="240" w:type="dxa"/>
            </w:tcMar>
            <w:vAlign w:val="center"/>
            <w:hideMark/>
          </w:tcPr>
          <w:p w14:paraId="0006EA8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Blog/Advocacy Article</w:t>
            </w:r>
          </w:p>
        </w:tc>
        <w:tc>
          <w:tcPr>
            <w:tcW w:w="4680" w:type="dxa"/>
            <w:tcMar>
              <w:top w:w="150" w:type="dxa"/>
              <w:left w:w="240" w:type="dxa"/>
              <w:bottom w:w="150" w:type="dxa"/>
              <w:right w:w="0" w:type="dxa"/>
            </w:tcMar>
            <w:vAlign w:val="center"/>
            <w:hideMark/>
          </w:tcPr>
          <w:p w14:paraId="24611783"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Let’s Girls Thrive (LGT) Program and Speak Up Boxes Initiative under Teach for Kenya</w:t>
            </w:r>
          </w:p>
        </w:tc>
      </w:tr>
      <w:tr w:rsidR="00E63744" w:rsidRPr="00E63744" w14:paraId="032143B3" w14:textId="77777777" w:rsidTr="00D03527">
        <w:tc>
          <w:tcPr>
            <w:tcW w:w="900" w:type="dxa"/>
            <w:tcMar>
              <w:top w:w="150" w:type="dxa"/>
              <w:left w:w="0" w:type="dxa"/>
              <w:bottom w:w="150" w:type="dxa"/>
              <w:right w:w="240" w:type="dxa"/>
            </w:tcMar>
            <w:vAlign w:val="center"/>
            <w:hideMark/>
          </w:tcPr>
          <w:p w14:paraId="2ED81F7B"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2025</w:t>
            </w:r>
          </w:p>
        </w:tc>
        <w:tc>
          <w:tcPr>
            <w:tcW w:w="2700" w:type="dxa"/>
            <w:tcMar>
              <w:top w:w="150" w:type="dxa"/>
              <w:left w:w="240" w:type="dxa"/>
              <w:bottom w:w="150" w:type="dxa"/>
              <w:right w:w="240" w:type="dxa"/>
            </w:tcMar>
            <w:vAlign w:val="center"/>
            <w:hideMark/>
          </w:tcPr>
          <w:p w14:paraId="343C6CF4"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article</w:t>
            </w:r>
          </w:p>
        </w:tc>
        <w:tc>
          <w:tcPr>
            <w:tcW w:w="4680" w:type="dxa"/>
            <w:tcMar>
              <w:top w:w="150" w:type="dxa"/>
              <w:left w:w="240" w:type="dxa"/>
              <w:bottom w:w="150" w:type="dxa"/>
              <w:right w:w="0" w:type="dxa"/>
            </w:tcMar>
            <w:vAlign w:val="center"/>
            <w:hideMark/>
          </w:tcPr>
          <w:p w14:paraId="0D2C9A1F"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Highlights that Corporal punishment in schools remains pervasive across sub-Saharan Africa (SSA)</w:t>
            </w:r>
            <w:r w:rsidRPr="00E63744">
              <w:rPr>
                <w:rFonts w:ascii="Segoe UI" w:eastAsia="Times New Roman" w:hAnsi="Segoe UI" w:cs="Segoe UI"/>
                <w:kern w:val="0"/>
                <w:sz w:val="23"/>
                <w:szCs w:val="23"/>
                <w14:ligatures w14:val="none"/>
              </w:rPr>
              <w:br/>
              <w:t xml:space="preserve">despite legal prohibitions. (This is enshrined in </w:t>
            </w:r>
            <w:proofErr w:type="gramStart"/>
            <w:r w:rsidRPr="00E63744">
              <w:rPr>
                <w:rFonts w:ascii="Segoe UI" w:eastAsia="Times New Roman" w:hAnsi="Segoe UI" w:cs="Segoe UI"/>
                <w:kern w:val="0"/>
                <w:sz w:val="23"/>
                <w:szCs w:val="23"/>
                <w14:ligatures w14:val="none"/>
              </w:rPr>
              <w:t>The</w:t>
            </w:r>
            <w:proofErr w:type="gramEnd"/>
            <w:r w:rsidRPr="00E63744">
              <w:rPr>
                <w:rFonts w:ascii="Segoe UI" w:eastAsia="Times New Roman" w:hAnsi="Segoe UI" w:cs="Segoe UI"/>
                <w:kern w:val="0"/>
                <w:sz w:val="23"/>
                <w:szCs w:val="23"/>
                <w14:ligatures w14:val="none"/>
              </w:rPr>
              <w:t xml:space="preserve"> children Act of 2022 in Kenya.</w:t>
            </w:r>
          </w:p>
        </w:tc>
      </w:tr>
      <w:tr w:rsidR="00E63744" w:rsidRPr="00E63744" w14:paraId="1617C19D" w14:textId="77777777" w:rsidTr="00D03527">
        <w:tc>
          <w:tcPr>
            <w:tcW w:w="900" w:type="dxa"/>
            <w:tcMar>
              <w:top w:w="150" w:type="dxa"/>
              <w:left w:w="0" w:type="dxa"/>
              <w:bottom w:w="150" w:type="dxa"/>
              <w:right w:w="240" w:type="dxa"/>
            </w:tcMar>
            <w:vAlign w:val="center"/>
            <w:hideMark/>
          </w:tcPr>
          <w:p w14:paraId="2E2ED27D"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2025</w:t>
            </w:r>
          </w:p>
        </w:tc>
        <w:tc>
          <w:tcPr>
            <w:tcW w:w="2700" w:type="dxa"/>
            <w:tcMar>
              <w:top w:w="150" w:type="dxa"/>
              <w:left w:w="240" w:type="dxa"/>
              <w:bottom w:w="150" w:type="dxa"/>
              <w:right w:w="240" w:type="dxa"/>
            </w:tcMar>
            <w:vAlign w:val="center"/>
            <w:hideMark/>
          </w:tcPr>
          <w:p w14:paraId="554DE28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Research article</w:t>
            </w:r>
          </w:p>
        </w:tc>
        <w:tc>
          <w:tcPr>
            <w:tcW w:w="4680" w:type="dxa"/>
            <w:tcMar>
              <w:top w:w="150" w:type="dxa"/>
              <w:left w:w="240" w:type="dxa"/>
              <w:bottom w:w="150" w:type="dxa"/>
              <w:right w:w="0" w:type="dxa"/>
            </w:tcMar>
            <w:vAlign w:val="center"/>
            <w:hideMark/>
          </w:tcPr>
          <w:p w14:paraId="27F8FD3C" w14:textId="77777777" w:rsidR="00E63744" w:rsidRPr="00E63744" w:rsidRDefault="00E63744" w:rsidP="00E63744">
            <w:pPr>
              <w:spacing w:after="0" w:line="375" w:lineRule="atLeast"/>
              <w:rPr>
                <w:rFonts w:ascii="Segoe UI" w:eastAsia="Times New Roman" w:hAnsi="Segoe UI" w:cs="Segoe UI"/>
                <w:kern w:val="0"/>
                <w:sz w:val="23"/>
                <w:szCs w:val="23"/>
                <w14:ligatures w14:val="none"/>
              </w:rPr>
            </w:pPr>
            <w:r w:rsidRPr="00E63744">
              <w:rPr>
                <w:rFonts w:ascii="Segoe UI" w:eastAsia="Times New Roman" w:hAnsi="Segoe UI" w:cs="Segoe UI"/>
                <w:kern w:val="0"/>
                <w:sz w:val="23"/>
                <w:szCs w:val="23"/>
                <w14:ligatures w14:val="none"/>
              </w:rPr>
              <w:t xml:space="preserve">References </w:t>
            </w:r>
            <w:proofErr w:type="gramStart"/>
            <w:r w:rsidRPr="00E63744">
              <w:rPr>
                <w:rFonts w:ascii="Segoe UI" w:eastAsia="Times New Roman" w:hAnsi="Segoe UI" w:cs="Segoe UI"/>
                <w:kern w:val="0"/>
                <w:sz w:val="23"/>
                <w:szCs w:val="23"/>
                <w14:ligatures w14:val="none"/>
              </w:rPr>
              <w:t>to:–</w:t>
            </w:r>
            <w:proofErr w:type="gramEnd"/>
            <w:r w:rsidRPr="00E63744">
              <w:rPr>
                <w:rFonts w:ascii="Segoe UI" w:eastAsia="Times New Roman" w:hAnsi="Segoe UI" w:cs="Segoe UI"/>
                <w:kern w:val="0"/>
                <w:sz w:val="23"/>
                <w:szCs w:val="23"/>
                <w14:ligatures w14:val="none"/>
              </w:rPr>
              <w:br/>
              <w:t>– APHRC's Policy Brief: School-Related Gender-Based Violence (SRGBV) in Kenya — Gaps and Recommendations</w:t>
            </w:r>
            <w:r w:rsidRPr="00E63744">
              <w:rPr>
                <w:rFonts w:ascii="Segoe UI" w:eastAsia="Times New Roman" w:hAnsi="Segoe UI" w:cs="Segoe UI"/>
                <w:kern w:val="0"/>
                <w:sz w:val="23"/>
                <w:szCs w:val="23"/>
                <w14:ligatures w14:val="none"/>
              </w:rPr>
              <w:br/>
              <w:t>– UNGEI's Whole-School Approach to Preventing School-Related Gender-Based Violence 2018.</w:t>
            </w:r>
          </w:p>
        </w:tc>
      </w:tr>
    </w:tbl>
    <w:p w14:paraId="6FECB2D3" w14:textId="77777777" w:rsidR="00E63744" w:rsidRDefault="00E63744"/>
    <w:sectPr w:rsidR="00E63744" w:rsidSect="00D035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6707D"/>
    <w:multiLevelType w:val="multilevel"/>
    <w:tmpl w:val="561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44"/>
    <w:rsid w:val="005A05BF"/>
    <w:rsid w:val="00761832"/>
    <w:rsid w:val="00B85366"/>
    <w:rsid w:val="00D03527"/>
    <w:rsid w:val="00E63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FFE01"/>
  <w15:chartTrackingRefBased/>
  <w15:docId w15:val="{7135EC00-28A9-489B-A072-5DC78D36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7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637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37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37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37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3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7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637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37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37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37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3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744"/>
    <w:rPr>
      <w:rFonts w:eastAsiaTheme="majorEastAsia" w:cstheme="majorBidi"/>
      <w:color w:val="272727" w:themeColor="text1" w:themeTint="D8"/>
    </w:rPr>
  </w:style>
  <w:style w:type="paragraph" w:styleId="Title">
    <w:name w:val="Title"/>
    <w:basedOn w:val="Normal"/>
    <w:next w:val="Normal"/>
    <w:link w:val="TitleChar"/>
    <w:uiPriority w:val="10"/>
    <w:qFormat/>
    <w:rsid w:val="00E63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744"/>
    <w:pPr>
      <w:spacing w:before="160"/>
      <w:jc w:val="center"/>
    </w:pPr>
    <w:rPr>
      <w:i/>
      <w:iCs/>
      <w:color w:val="404040" w:themeColor="text1" w:themeTint="BF"/>
    </w:rPr>
  </w:style>
  <w:style w:type="character" w:customStyle="1" w:styleId="QuoteChar">
    <w:name w:val="Quote Char"/>
    <w:basedOn w:val="DefaultParagraphFont"/>
    <w:link w:val="Quote"/>
    <w:uiPriority w:val="29"/>
    <w:rsid w:val="00E63744"/>
    <w:rPr>
      <w:i/>
      <w:iCs/>
      <w:color w:val="404040" w:themeColor="text1" w:themeTint="BF"/>
    </w:rPr>
  </w:style>
  <w:style w:type="paragraph" w:styleId="ListParagraph">
    <w:name w:val="List Paragraph"/>
    <w:basedOn w:val="Normal"/>
    <w:uiPriority w:val="34"/>
    <w:qFormat/>
    <w:rsid w:val="00E63744"/>
    <w:pPr>
      <w:ind w:left="720"/>
      <w:contextualSpacing/>
    </w:pPr>
  </w:style>
  <w:style w:type="character" w:styleId="IntenseEmphasis">
    <w:name w:val="Intense Emphasis"/>
    <w:basedOn w:val="DefaultParagraphFont"/>
    <w:uiPriority w:val="21"/>
    <w:qFormat/>
    <w:rsid w:val="00E63744"/>
    <w:rPr>
      <w:i/>
      <w:iCs/>
      <w:color w:val="2F5496" w:themeColor="accent1" w:themeShade="BF"/>
    </w:rPr>
  </w:style>
  <w:style w:type="paragraph" w:styleId="IntenseQuote">
    <w:name w:val="Intense Quote"/>
    <w:basedOn w:val="Normal"/>
    <w:next w:val="Normal"/>
    <w:link w:val="IntenseQuoteChar"/>
    <w:uiPriority w:val="30"/>
    <w:qFormat/>
    <w:rsid w:val="00E637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3744"/>
    <w:rPr>
      <w:i/>
      <w:iCs/>
      <w:color w:val="2F5496" w:themeColor="accent1" w:themeShade="BF"/>
    </w:rPr>
  </w:style>
  <w:style w:type="character" w:styleId="IntenseReference">
    <w:name w:val="Intense Reference"/>
    <w:basedOn w:val="DefaultParagraphFont"/>
    <w:uiPriority w:val="32"/>
    <w:qFormat/>
    <w:rsid w:val="00E6374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Lucy Wakiaga</cp:lastModifiedBy>
  <cp:revision>2</cp:revision>
  <dcterms:created xsi:type="dcterms:W3CDTF">2026-07-01T15:21:00Z</dcterms:created>
  <dcterms:modified xsi:type="dcterms:W3CDTF">2026-07-01T15:21:00Z</dcterms:modified>
</cp:coreProperties>
</file>