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before="240" w:after="240" w:line="240" w:lineRule="auto"/>
        <w:rPr>
          <w:b/>
          <w:bCs/>
          <w:sz w:val="34"/>
          <w:szCs w:val="34"/>
          <w:u w:val="single"/>
        </w:rPr>
      </w:pPr>
      <w:bookmarkStart w:id="0" w:name="_GoBack"/>
      <w:bookmarkEnd w:id="0"/>
      <w:r>
        <w:rPr>
          <w:b/>
          <w:bCs/>
          <w:sz w:val="34"/>
          <w:szCs w:val="34"/>
          <w:u w:val="single"/>
        </w:rPr>
        <w:t>(RQ2 A)- IMPLEMENTATION FRAMEWORKS</w:t>
      </w:r>
    </w:p>
    <w:p w14:paraId="0000000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before="240" w:after="240" w:line="240" w:lineRule="auto"/>
        <w:rPr>
          <w:sz w:val="22"/>
          <w:szCs w:val="22"/>
          <w:shd w:val="clear" w:color="auto" w:fill="9900FF"/>
        </w:rPr>
      </w:pPr>
      <w:r>
        <w:rPr>
          <w:b/>
          <w:bCs/>
          <w:sz w:val="22"/>
          <w:szCs w:val="22"/>
          <w:shd w:val="clear" w:color="auto" w:fill="9900FF"/>
        </w:rPr>
        <w:t xml:space="preserve">Description: </w:t>
      </w:r>
      <w:r>
        <w:rPr>
          <w:sz w:val="22"/>
          <w:szCs w:val="22"/>
          <w:shd w:val="clear" w:color="auto" w:fill="9900FF"/>
        </w:rPr>
        <w:t>To identify and evaluate the strategies that have been used in implementing the SRBGV prevention policies and guidelines in Kenya’s schools.</w:t>
      </w:r>
    </w:p>
    <w:p w14:paraId="00000003" w14:textId="77777777" w:rsidR="005351F1" w:rsidRDefault="00187E91">
      <w:pPr>
        <w:numPr>
          <w:ilvl w:val="0"/>
          <w:numId w:val="2"/>
        </w:num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before="240" w:after="240" w:line="240" w:lineRule="auto"/>
        <w:rPr>
          <w:sz w:val="28"/>
          <w:szCs w:val="28"/>
          <w:highlight w:val="red"/>
        </w:rPr>
      </w:pPr>
      <w:r>
        <w:rPr>
          <w:sz w:val="28"/>
          <w:szCs w:val="28"/>
          <w:highlight w:val="red"/>
        </w:rPr>
        <w:t>INTERVENTIONS AND RESPONSE</w:t>
      </w:r>
    </w:p>
    <w:p w14:paraId="0000000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0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Theme 1: Whole School or Holistic Approaches</w:t>
      </w:r>
    </w:p>
    <w:p w14:paraId="0000000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0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&lt;Files\\SRGBV Policy Review BEFORE CODING (2)&gt; - § 26 references coded  [1.16% Coverage]</w:t>
      </w:r>
    </w:p>
    <w:p w14:paraId="0000000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0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1 - 0.03% Coverage</w:t>
      </w:r>
    </w:p>
    <w:p w14:paraId="0000000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0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Psychosocial support and safe environments</w:t>
      </w:r>
    </w:p>
    <w:p w14:paraId="0000000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0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Establish programmes for volunteer counsell</w:t>
      </w:r>
      <w:r>
        <w:rPr>
          <w:rFonts w:ascii="Quattrocento Sans" w:eastAsia="Quattrocento Sans" w:hAnsi="Quattrocento Sans" w:cs="Quattrocento Sans"/>
          <w:sz w:val="20"/>
          <w:szCs w:val="20"/>
        </w:rPr>
        <w:t>ors to provide school-based counselling.</w:t>
      </w:r>
    </w:p>
    <w:p w14:paraId="0000000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Create safe and inclusive spaces in schools (therapy, support, refuge) aligned with the School Safety Standards Manual and Child-Friendly School Manual.</w:t>
      </w:r>
    </w:p>
    <w:p w14:paraId="0000000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1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2 - 0.05% Coverage</w:t>
      </w:r>
    </w:p>
    <w:p w14:paraId="0000001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1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The manual frames standards and guidelines for implementation across 13 key areas:</w:t>
      </w:r>
    </w:p>
    <w:p w14:paraId="0000001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1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Safety on School Grounds – secure fencing, gates, playgrounds, safe walkways, and proper land ownership.</w:t>
      </w:r>
    </w:p>
    <w:p w14:paraId="0000001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1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Safety in Physical Infrastructure – safe classrooms, dormitories, libraries, sanitation facilities, administration blocks, with compliance to building codes.</w:t>
      </w:r>
    </w:p>
    <w:p w14:paraId="0000001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1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Health and Hygiene Safety – clean water, sanitation, health checks, HIV/AIDS awareness, nutrition</w:t>
      </w:r>
      <w:r>
        <w:rPr>
          <w:rFonts w:ascii="Quattrocento Sans" w:eastAsia="Quattrocento Sans" w:hAnsi="Quattrocento Sans" w:cs="Quattrocento Sans"/>
          <w:sz w:val="20"/>
          <w:szCs w:val="20"/>
        </w:rPr>
        <w:t>, first aid, and infection control.</w:t>
      </w:r>
    </w:p>
    <w:p w14:paraId="0000001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1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3 - 0.06% Coverage</w:t>
      </w:r>
    </w:p>
    <w:p w14:paraId="0000001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1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Safety in School Environment – proper waste disposal, environmental sanitation, safe lighting, and sustainable biodiversity management.</w:t>
      </w:r>
    </w:p>
    <w:p w14:paraId="0000001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1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Food Safety – provision of wholesome and safe food, </w:t>
      </w:r>
      <w:r>
        <w:rPr>
          <w:rFonts w:ascii="Quattrocento Sans" w:eastAsia="Quattrocento Sans" w:hAnsi="Quattrocento Sans" w:cs="Quattrocento Sans"/>
          <w:sz w:val="20"/>
          <w:szCs w:val="20"/>
        </w:rPr>
        <w:t>school feeding programmes, inspection and hygiene standards.</w:t>
      </w:r>
    </w:p>
    <w:p w14:paraId="0000001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2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Safety Against Drug and Substance Abuse – awareness, teaching, community involvement, monitoring, and counselling.</w:t>
      </w:r>
    </w:p>
    <w:p w14:paraId="0000002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2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Teaching and Learning Environment – learner-centered approaches, teacher train</w:t>
      </w:r>
      <w:r>
        <w:rPr>
          <w:rFonts w:ascii="Quattrocento Sans" w:eastAsia="Quattrocento Sans" w:hAnsi="Quattrocento Sans" w:cs="Quattrocento Sans"/>
          <w:sz w:val="20"/>
          <w:szCs w:val="20"/>
        </w:rPr>
        <w:t>ing, special needs support, co-curricular activities.</w:t>
      </w:r>
    </w:p>
    <w:p w14:paraId="0000002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2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4 - 0.08% Coverage</w:t>
      </w:r>
    </w:p>
    <w:p w14:paraId="0000002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2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Socio-cultural Environment – positive interpersonal relationships, cultural sensitivity, guidance and counselling, parental/community engagement.</w:t>
      </w:r>
    </w:p>
    <w:p w14:paraId="0000002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2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Safety of Children with </w:t>
      </w:r>
      <w:r>
        <w:rPr>
          <w:rFonts w:ascii="Quattrocento Sans" w:eastAsia="Quattrocento Sans" w:hAnsi="Quattrocento Sans" w:cs="Quattrocento Sans"/>
          <w:sz w:val="20"/>
          <w:szCs w:val="20"/>
        </w:rPr>
        <w:t>Special Needs/Disabilities – inclusive facilities, remedial teaching, parental sensitisation, accessibility.</w:t>
      </w:r>
    </w:p>
    <w:p w14:paraId="0000002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2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lastRenderedPageBreak/>
        <w:t>Safety Against Child Abuse – prevention of corporal punishment, sexual harassment, and early marriage; reporting and response mechanisms.</w:t>
      </w:r>
    </w:p>
    <w:p w14:paraId="0000002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2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Transpo</w:t>
      </w:r>
      <w:r>
        <w:rPr>
          <w:rFonts w:ascii="Quattrocento Sans" w:eastAsia="Quattrocento Sans" w:hAnsi="Quattrocento Sans" w:cs="Quattrocento Sans"/>
          <w:sz w:val="20"/>
          <w:szCs w:val="20"/>
        </w:rPr>
        <w:t>rtation Safety – safe buses, trained drivers, maintenance, supervision of learners in transit.</w:t>
      </w:r>
    </w:p>
    <w:p w14:paraId="0000002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2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Disaster Risk Reduction – preparedness, evacuation drills, fire safety, and emergency response plans.</w:t>
      </w:r>
    </w:p>
    <w:p w14:paraId="0000002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3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School–Community Relations – collaboration with parents, community, NGOs, and local government for safety promotion</w:t>
      </w:r>
    </w:p>
    <w:p w14:paraId="0000003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3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5 - 0.03% Coverage</w:t>
      </w:r>
    </w:p>
    <w:p w14:paraId="0000003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3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Compliance with performance standards – teachers must obtain certification, prepare schemes of work, lesson p</w:t>
      </w:r>
      <w:r>
        <w:rPr>
          <w:rFonts w:ascii="Quattrocento Sans" w:eastAsia="Quattrocento Sans" w:hAnsi="Quattrocento Sans" w:cs="Quattrocento Sans"/>
          <w:sz w:val="20"/>
          <w:szCs w:val="20"/>
        </w:rPr>
        <w:t>lans, assess learners, and give feedback.</w:t>
      </w:r>
    </w:p>
    <w:p w14:paraId="0000003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3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6 - 0.04% Coverage</w:t>
      </w:r>
    </w:p>
    <w:p w14:paraId="0000003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3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Supervision by heads of institutions – induct and mentor new teachers, verify professional documents, ensure syllabus coverage, attendance, and availability of resources.</w:t>
      </w:r>
    </w:p>
    <w:p w14:paraId="0000003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3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7</w:t>
      </w: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 xml:space="preserve"> - 0.04% Coverage</w:t>
      </w:r>
    </w:p>
    <w:p w14:paraId="0000003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3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4. Whole-School Approach: Integration of gender equality, child protection, and rights education into the school environment; participatory rule-making; school and community coordination</w:t>
      </w:r>
    </w:p>
    <w:p w14:paraId="0000003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3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8 - 0.04% Coverage</w:t>
      </w:r>
    </w:p>
    <w:p w14:paraId="0000003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4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USAID Safe Schools</w:t>
      </w:r>
      <w:r>
        <w:rPr>
          <w:rFonts w:ascii="Quattrocento Sans" w:eastAsia="Quattrocento Sans" w:hAnsi="Quattrocento Sans" w:cs="Quattrocento Sans"/>
          <w:sz w:val="20"/>
          <w:szCs w:val="20"/>
        </w:rPr>
        <w:t xml:space="preserve"> Project — combined community counselling, school-based awareness, and child helplines.</w:t>
      </w:r>
    </w:p>
    <w:p w14:paraId="0000004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</w:t>
      </w:r>
    </w:p>
    <w:p w14:paraId="0000004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4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9 - 0.05% Coverage</w:t>
      </w:r>
    </w:p>
    <w:p w14:paraId="0000004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4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ionAid “Stop Violence Against Girls” Project (Ghana, Kenya, Mozambique) — used girls’ clubs, teacher training, and community dialogues.</w:t>
      </w:r>
    </w:p>
    <w:p w14:paraId="0000004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•</w:t>
      </w:r>
    </w:p>
    <w:p w14:paraId="0000004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4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10 - 0.01% Coverage</w:t>
      </w:r>
    </w:p>
    <w:p w14:paraId="0000004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4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safe environments</w:t>
      </w:r>
    </w:p>
    <w:p w14:paraId="0000004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4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11 - 0.04% Coverage</w:t>
      </w:r>
    </w:p>
    <w:p w14:paraId="0000004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4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Enact school policies / codes that explicitly address SRGBV, including sexual harassment, coercion, and online elements</w:t>
      </w:r>
    </w:p>
    <w:p w14:paraId="0000004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5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12 - 0.03% Coverage</w:t>
      </w:r>
    </w:p>
    <w:p w14:paraId="0000005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5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Establishment of child protection structures within schools, parishes, and dioceses</w:t>
      </w:r>
    </w:p>
    <w:p w14:paraId="0000005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5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13 - 0.03% Coverage</w:t>
      </w:r>
    </w:p>
    <w:p w14:paraId="0000005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5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Promoting awareness campaigns on SGBV prevention and girls’ rights in schools.</w:t>
      </w:r>
    </w:p>
    <w:p w14:paraId="0000005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5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14 - 0.03% Coverage</w:t>
      </w:r>
    </w:p>
    <w:p w14:paraId="0000005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5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Provide mentorship, psy</w:t>
      </w:r>
      <w:r>
        <w:rPr>
          <w:rFonts w:ascii="Quattrocento Sans" w:eastAsia="Quattrocento Sans" w:hAnsi="Quattrocento Sans" w:cs="Quattrocento Sans"/>
          <w:sz w:val="20"/>
          <w:szCs w:val="20"/>
        </w:rPr>
        <w:t>chosocial support, and material assistance (fees, uniforms, sanitary products).</w:t>
      </w:r>
    </w:p>
    <w:p w14:paraId="0000005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5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lastRenderedPageBreak/>
        <w:t>Reference 15 - 0.02% Coverage</w:t>
      </w:r>
    </w:p>
    <w:p w14:paraId="0000005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5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Apply a “Whole School Approach” to gender equality and safety</w:t>
      </w:r>
    </w:p>
    <w:p w14:paraId="0000005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6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16 - 0.04% Coverage</w:t>
      </w:r>
    </w:p>
    <w:p w14:paraId="0000006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6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Integration of gender-sensitive discussions and safe spaces for boys and girls within schools.</w:t>
      </w:r>
    </w:p>
    <w:p w14:paraId="0000006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6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17 - 0.03% Coverage</w:t>
      </w:r>
    </w:p>
    <w:p w14:paraId="0000006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6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Weekly school-based activities focused on mentorship, leadership, and life skills</w:t>
      </w:r>
    </w:p>
    <w:p w14:paraId="0000006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6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18 - 0.12% Coverage</w:t>
      </w:r>
    </w:p>
    <w:p w14:paraId="0000006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6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Implement</w:t>
      </w:r>
      <w:r>
        <w:rPr>
          <w:rFonts w:ascii="Quattrocento Sans" w:eastAsia="Quattrocento Sans" w:hAnsi="Quattrocento Sans" w:cs="Quattrocento Sans"/>
          <w:sz w:val="20"/>
          <w:szCs w:val="20"/>
        </w:rPr>
        <w:t>ation in 10 partner schools in Nairobi (Kasarani, Embakasi) and Kisumu (Central, East).</w:t>
      </w:r>
    </w:p>
    <w:p w14:paraId="0000006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- Conducted gender-responsive classroom sessions and mentorship activities.</w:t>
      </w:r>
    </w:p>
    <w:p w14:paraId="0000006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- Established Child Rights Clubs and installed Talk Boxes for anonymous reporting.</w:t>
      </w:r>
    </w:p>
    <w:p w14:paraId="0000006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</w:t>
      </w:r>
    </w:p>
    <w:p w14:paraId="0000006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6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</w:t>
      </w: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rence 19 - 0.03% Coverage</w:t>
      </w:r>
    </w:p>
    <w:p w14:paraId="0000007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7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2. Environment: Promote whole-school approaches for safe and supportive learning environments.</w:t>
      </w:r>
    </w:p>
    <w:p w14:paraId="0000007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7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20 - 0.02% Coverage</w:t>
      </w:r>
    </w:p>
    <w:p w14:paraId="0000007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7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7. Safe Physical Environments – secure, gender-sensitive infrastructure.</w:t>
      </w:r>
    </w:p>
    <w:p w14:paraId="0000007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7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21 - 0.02% Coverage</w:t>
      </w:r>
    </w:p>
    <w:p w14:paraId="0000007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7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• Establish and strengthen STEM clubs in schools.</w:t>
      </w:r>
    </w:p>
    <w:p w14:paraId="0000007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7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22 - 0.03% Coverage</w:t>
      </w:r>
    </w:p>
    <w:p w14:paraId="0000007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7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• Scale up Tuseme clubs for psychosocial empowerment and student voice.</w:t>
      </w:r>
    </w:p>
    <w:p w14:paraId="0000007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7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23 - 0.02% Coverage</w:t>
      </w:r>
    </w:p>
    <w:p w14:paraId="0000008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8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- Strengthen Tuseme clubs for student voice, mentorship, and SRHR awareness.</w:t>
      </w:r>
    </w:p>
    <w:p w14:paraId="0000008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8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24 - 0.19% Coverage</w:t>
      </w:r>
    </w:p>
    <w:p w14:paraId="0000008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8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>The Whole School Approach is addressed entirely through school-based interventions.</w:t>
      </w:r>
    </w:p>
    <w:p w14:paraId="0000008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8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25 - 0.02% Coverage</w:t>
      </w:r>
    </w:p>
    <w:p w14:paraId="0000008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8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school counselling/guidance st</w:t>
      </w:r>
      <w:r>
        <w:rPr>
          <w:rFonts w:ascii="Quattrocento Sans" w:eastAsia="Quattrocento Sans" w:hAnsi="Quattrocento Sans" w:cs="Quattrocento Sans"/>
          <w:sz w:val="20"/>
          <w:szCs w:val="20"/>
        </w:rPr>
        <w:t>ructures,</w:t>
      </w:r>
    </w:p>
    <w:p w14:paraId="0000008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8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  <w:t>Reference 26 - 0.06% Coverage</w:t>
      </w:r>
    </w:p>
    <w:p w14:paraId="0000008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  <w:shd w:val="clear" w:color="auto" w:fill="D3D3D3"/>
        </w:rPr>
      </w:pPr>
    </w:p>
    <w:p w14:paraId="0000008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  <w:r>
        <w:rPr>
          <w:rFonts w:ascii="Quattrocento Sans" w:eastAsia="Quattrocento Sans" w:hAnsi="Quattrocento Sans" w:cs="Quattrocento Sans"/>
          <w:sz w:val="20"/>
          <w:szCs w:val="20"/>
        </w:rPr>
        <w:t xml:space="preserve"> - Establishing and empowering school safety structures                                                                                                                                                               </w:t>
      </w:r>
      <w:r>
        <w:rPr>
          <w:rFonts w:ascii="Quattrocento Sans" w:eastAsia="Quattrocento Sans" w:hAnsi="Quattrocento Sans" w:cs="Quattrocento Sans"/>
          <w:sz w:val="20"/>
          <w:szCs w:val="20"/>
        </w:rPr>
        <w:t xml:space="preserve">         - Creating a safe school environment for all     </w:t>
      </w:r>
    </w:p>
    <w:p w14:paraId="0000008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8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sz w:val="20"/>
          <w:szCs w:val="20"/>
        </w:rPr>
      </w:pPr>
    </w:p>
    <w:p w14:paraId="0000009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9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Theme 2: Reporting, Referral, and Response Mechanisms</w:t>
      </w:r>
    </w:p>
    <w:p w14:paraId="0000009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9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&lt;Files\\SRGBV Policy Review BEFORE CODING (2)&gt; - § 24 references coded  [0.65% Coverage]</w:t>
      </w:r>
    </w:p>
    <w:p w14:paraId="0000009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9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1 - 0.02% Coverage</w:t>
      </w:r>
    </w:p>
    <w:p w14:paraId="0000009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9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Service provision – Ensure access to comprehensive survivor support services, including one-stop centres and shelters.</w:t>
      </w:r>
    </w:p>
    <w:p w14:paraId="0000009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9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2 - 0.03% Coverage</w:t>
      </w:r>
    </w:p>
    <w:p w14:paraId="0000009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9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Strengthening reporting and referral mechanisms</w:t>
      </w:r>
    </w:p>
    <w:p w14:paraId="0000009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9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Establish child-friendly mechanisms in schools (sugg</w:t>
      </w:r>
      <w:r>
        <w:rPr>
          <w:sz w:val="22"/>
          <w:szCs w:val="22"/>
        </w:rPr>
        <w:t>estion boxes, referral directories, standardized referral forms).</w:t>
      </w:r>
    </w:p>
    <w:p w14:paraId="0000009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Support students to report violence without fear of reprisal.</w:t>
      </w:r>
    </w:p>
    <w:p w14:paraId="0000009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A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3 - 0.03% Coverage</w:t>
      </w:r>
    </w:p>
    <w:p w14:paraId="000000A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A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Establishment &amp; regulation of children’s institutions such as rescue centres, charitable childr</w:t>
      </w:r>
      <w:r>
        <w:rPr>
          <w:sz w:val="22"/>
          <w:szCs w:val="22"/>
        </w:rPr>
        <w:t>en’s institutions, and remand homes, with oversight, inspection, reporting, and regulation of standards.</w:t>
      </w:r>
    </w:p>
    <w:p w14:paraId="000000A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A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4 - 0.03% Coverage</w:t>
      </w:r>
    </w:p>
    <w:p w14:paraId="000000A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A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Children protection units: Establish child protection units in every police station to provide safe &amp; sensitive environm</w:t>
      </w:r>
      <w:r>
        <w:rPr>
          <w:sz w:val="22"/>
          <w:szCs w:val="22"/>
        </w:rPr>
        <w:t xml:space="preserve">ent for children in conflict with the law. </w:t>
      </w:r>
    </w:p>
    <w:p w14:paraId="000000A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A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5 - 0.04% Coverage</w:t>
      </w:r>
    </w:p>
    <w:p w14:paraId="000000A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A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They include an implementation framework with roles, responsibilities, coordination mechanisms, monitoring &amp; evaluation, and reporting structures</w:t>
      </w:r>
    </w:p>
    <w:p w14:paraId="000000A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A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6 - 0.04% Coverage</w:t>
      </w:r>
    </w:p>
    <w:p w14:paraId="000000A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A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5. Service Delivery: Integrate GBV care into UHC, scale up ‘Policare’ one-stop centers, and establish GBV recovery centers and shelters in all counties.</w:t>
      </w:r>
    </w:p>
    <w:p w14:paraId="000000A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B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7 - 0.03% Coverage</w:t>
      </w:r>
    </w:p>
    <w:p w14:paraId="000000B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B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Expand GBV and child protection services, including psychosocial, medi</w:t>
      </w:r>
      <w:r>
        <w:rPr>
          <w:sz w:val="22"/>
          <w:szCs w:val="22"/>
        </w:rPr>
        <w:t>cal, and legal support.</w:t>
      </w:r>
    </w:p>
    <w:p w14:paraId="000000B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B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8 - 0.02% Coverage</w:t>
      </w:r>
    </w:p>
    <w:p w14:paraId="000000B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B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Increase awareness campaigns and survivor-friendly reporting mechanisms.</w:t>
      </w:r>
    </w:p>
    <w:p w14:paraId="000000B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B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9 - 0.02% Coverage</w:t>
      </w:r>
    </w:p>
    <w:p w14:paraId="000000B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B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Increase reporting and complaint mechanisms in schools</w:t>
      </w:r>
    </w:p>
    <w:p w14:paraId="000000B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B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10 - 0.02% Coverage</w:t>
      </w:r>
    </w:p>
    <w:p w14:paraId="000000B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B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Prov</w:t>
      </w:r>
      <w:r>
        <w:rPr>
          <w:sz w:val="22"/>
          <w:szCs w:val="22"/>
        </w:rPr>
        <w:t>ide protection and support for students who fear retribution.</w:t>
      </w:r>
    </w:p>
    <w:p w14:paraId="000000B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C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11 - 0.02% Coverage</w:t>
      </w:r>
    </w:p>
    <w:p w14:paraId="000000C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C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Strengthening GBV prevention and response mechanisms</w:t>
      </w:r>
    </w:p>
    <w:p w14:paraId="000000C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C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12 - 0.02% Coverage</w:t>
      </w:r>
    </w:p>
    <w:p w14:paraId="000000C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C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Emergency preparedness and response integration.</w:t>
      </w:r>
    </w:p>
    <w:p w14:paraId="000000C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C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13 - 0.02% Coverage</w:t>
      </w:r>
    </w:p>
    <w:p w14:paraId="000000C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C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d protection hotlines and information systems in 15 counties.</w:t>
      </w:r>
    </w:p>
    <w:p w14:paraId="000000C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- Cas</w:t>
      </w:r>
    </w:p>
    <w:p w14:paraId="000000C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C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14 - 0.01% Coverage</w:t>
      </w:r>
    </w:p>
    <w:p w14:paraId="000000C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C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Develop clear codes of conduct and reporting procedures</w:t>
      </w:r>
    </w:p>
    <w:p w14:paraId="000000D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D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15 - 0.04% Coverage</w:t>
      </w:r>
    </w:p>
    <w:p w14:paraId="000000D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D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Installation of Speak Up Boxes in schools to enable anonymous reporting of abuse or neglect</w:t>
      </w:r>
    </w:p>
    <w:p w14:paraId="000000D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D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16 - 0.03% Coverage</w:t>
      </w:r>
    </w:p>
    <w:p w14:paraId="000000D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D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Establishment of gender desks/offices at police stations and within schools.</w:t>
      </w:r>
    </w:p>
    <w:p w14:paraId="000000D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D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17 - 0.03% Coverage</w:t>
      </w:r>
    </w:p>
    <w:p w14:paraId="000000D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D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Formation of Child Rights Clubs and Talk Boxes for safe reporting</w:t>
      </w:r>
    </w:p>
    <w:p w14:paraId="000000D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D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18 - 0.03% Coverage</w:t>
      </w:r>
    </w:p>
    <w:p w14:paraId="000000D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D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Linkage with gender desks at police stations and other community referral mechanisms.</w:t>
      </w:r>
    </w:p>
    <w:p w14:paraId="000000E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E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19 - 0.03% Coverage</w:t>
      </w:r>
    </w:p>
    <w:p w14:paraId="000000E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E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4. Responses: Create confidential re</w:t>
      </w:r>
      <w:r>
        <w:rPr>
          <w:sz w:val="22"/>
          <w:szCs w:val="22"/>
        </w:rPr>
        <w:t>porting, referral, and counselling systems.</w:t>
      </w:r>
    </w:p>
    <w:p w14:paraId="000000E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E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20 - 0.02% Coverage</w:t>
      </w:r>
    </w:p>
    <w:p w14:paraId="000000E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E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5. Reporting, Monitoring &amp; Accountability – establishing confidential reporting and data systems.</w:t>
      </w:r>
    </w:p>
    <w:p w14:paraId="000000E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E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21 - 0.02% Coverage</w:t>
      </w:r>
    </w:p>
    <w:p w14:paraId="000000E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E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6. Incident Response – safe, child-centered referr</w:t>
      </w:r>
      <w:r>
        <w:rPr>
          <w:sz w:val="22"/>
          <w:szCs w:val="22"/>
        </w:rPr>
        <w:t>al and response mechanisms.</w:t>
      </w:r>
    </w:p>
    <w:p w14:paraId="000000E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E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22 - 0.04% Coverage</w:t>
      </w:r>
    </w:p>
    <w:p w14:paraId="000000E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E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Strengthen preparedness and early warning systems.</w:t>
      </w:r>
    </w:p>
    <w:p w14:paraId="000000F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Establish rapid response and early recovery mechanisms.</w:t>
      </w:r>
    </w:p>
    <w:p w14:paraId="000000F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F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23 - 0.02% Coverage</w:t>
      </w:r>
    </w:p>
    <w:p w14:paraId="000000F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F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Promote access to youth-friendly SRH services and s</w:t>
      </w:r>
      <w:r>
        <w:rPr>
          <w:sz w:val="22"/>
          <w:szCs w:val="22"/>
        </w:rPr>
        <w:t>afe spaces</w:t>
      </w:r>
    </w:p>
    <w:p w14:paraId="000000F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F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24 - 0.04% Coverage</w:t>
      </w:r>
    </w:p>
    <w:p w14:paraId="000000F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F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Integrate GBV services (medical, legal, psychosocial) into Universal Health Coverage (UHC).</w:t>
      </w:r>
    </w:p>
    <w:p w14:paraId="000000F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Establish GBV Recovery Centers and shelters in all counties</w:t>
      </w:r>
    </w:p>
    <w:p w14:paraId="000000F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0F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F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F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Theme 3: Curriculum, Pedagogy &amp; Student Empowerment</w:t>
      </w:r>
    </w:p>
    <w:p w14:paraId="000000F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0F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&lt;Files\\SRGBV Policy Review BEFORE CODING (2)&gt; - § 15 references coded  [0.36% Coverage]</w:t>
      </w:r>
    </w:p>
    <w:p w14:paraId="0000010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0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1 - 0.01% Coverage</w:t>
      </w:r>
    </w:p>
    <w:p w14:paraId="0000010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0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Facilitate peer-to-peer dialogues and children’s assemblies to raise awareness and share child protection knowledge.</w:t>
      </w:r>
    </w:p>
    <w:p w14:paraId="0000010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0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2 - 0.01% Coverage</w:t>
      </w:r>
    </w:p>
    <w:p w14:paraId="0000010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0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Use co-curricular activities (drama, music, sports, clubs) to present themes on preventing VAC.</w:t>
      </w:r>
    </w:p>
    <w:p w14:paraId="0000010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0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3 - 0.03% Coverage</w:t>
      </w:r>
    </w:p>
    <w:p w14:paraId="0000010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0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6. Integration of life skills and value-based education</w:t>
      </w:r>
    </w:p>
    <w:p w14:paraId="0000010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0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Include prevention and response to violence in life-skills learning.</w:t>
      </w:r>
    </w:p>
    <w:p w14:paraId="0000010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Provide training in anger management, avoiding fights/bullying, and moral guidance.</w:t>
      </w:r>
    </w:p>
    <w:p w14:paraId="0000010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Increase children’s knowledge in entrepreneurship and self-sufficiency.</w:t>
      </w:r>
    </w:p>
    <w:p w14:paraId="0000011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1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4 - 0.04% Cove</w:t>
      </w:r>
      <w:r>
        <w:rPr>
          <w:sz w:val="22"/>
          <w:szCs w:val="22"/>
          <w:shd w:val="clear" w:color="auto" w:fill="D3D3D3"/>
        </w:rPr>
        <w:t>rage</w:t>
      </w:r>
    </w:p>
    <w:p w14:paraId="0000011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1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Use of a socio-ecological model</w:t>
      </w:r>
    </w:p>
    <w:p w14:paraId="0000011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 plan organizes its interventions along multiple layers of influence (child, family, community, institutional, societal) using six strategic areas: Laws &amp; Policies, Family Support &amp; Economic Strengthening, Educat</w:t>
      </w:r>
      <w:r>
        <w:rPr>
          <w:sz w:val="22"/>
          <w:szCs w:val="22"/>
        </w:rPr>
        <w:t xml:space="preserve">ion &amp; Life Skills, Community Norms &amp; Values, Response &amp; Support Services and Coordination </w:t>
      </w:r>
    </w:p>
    <w:p w14:paraId="0000011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1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5 - 0.01% Coverage</w:t>
      </w:r>
    </w:p>
    <w:p w14:paraId="0000011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1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curriculum reform.</w:t>
      </w:r>
    </w:p>
    <w:p w14:paraId="0000011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1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6 - 0.01% Coverage</w:t>
      </w:r>
    </w:p>
    <w:p w14:paraId="0000011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1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education and life skills</w:t>
      </w:r>
    </w:p>
    <w:p w14:paraId="0000011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1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7 - 0.02% Coverage</w:t>
      </w:r>
    </w:p>
    <w:p w14:paraId="0000011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2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Integration of gender-res</w:t>
      </w:r>
      <w:r>
        <w:rPr>
          <w:sz w:val="22"/>
          <w:szCs w:val="22"/>
        </w:rPr>
        <w:t>ponsive curricula, pedagogy, and infrastructure.</w:t>
      </w:r>
    </w:p>
    <w:p w14:paraId="0000012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2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8 - 0.01% Coverage</w:t>
      </w:r>
    </w:p>
    <w:p w14:paraId="0000012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2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mentorship in STEM</w:t>
      </w:r>
    </w:p>
    <w:p w14:paraId="0000012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2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9 - 0.02% Coverage</w:t>
      </w:r>
    </w:p>
    <w:p w14:paraId="0000012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2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ernative education for refugee children.</w:t>
      </w:r>
    </w:p>
    <w:p w14:paraId="0000012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- Ch</w:t>
      </w:r>
    </w:p>
    <w:p w14:paraId="0000012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2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10 - 0.04% Coverage</w:t>
      </w:r>
    </w:p>
    <w:p w14:paraId="0000012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2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Integration of child rights education and life skills into school and catechism programs.</w:t>
      </w:r>
    </w:p>
    <w:p w14:paraId="0000012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2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11 - 0.04% Coverage</w:t>
      </w:r>
    </w:p>
    <w:p w14:paraId="0000013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3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Integration of child protection into Teach for Kenya’s leadership and teacher training curriculum.</w:t>
      </w:r>
    </w:p>
    <w:p w14:paraId="0000013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3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12 - 0.04% Coverage</w:t>
      </w:r>
    </w:p>
    <w:p w14:paraId="0000013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3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Integration of GBV topics into classroom discussions (healthy bodies, healthy friendships, life skills).</w:t>
      </w:r>
    </w:p>
    <w:p w14:paraId="0000013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3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13 - 0.04% Coverage</w:t>
      </w:r>
    </w:p>
    <w:p w14:paraId="0000013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3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3. Prevention: Integrate gender equality and non-violence into curricula, teacher training, and pedagogy.</w:t>
      </w:r>
    </w:p>
    <w:p w14:paraId="0000013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3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14 - 0.03% Coverage</w:t>
      </w:r>
    </w:p>
    <w:p w14:paraId="0000013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3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4. Child Rights, Participation &amp; Gender Equality – embedding child rights in curricula, promoting student leadership and peer awareness.</w:t>
      </w:r>
    </w:p>
    <w:p w14:paraId="0000013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3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15 - 0.03% Coverage</w:t>
      </w:r>
    </w:p>
    <w:p w14:paraId="0000014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4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- Integration of  SRGBV prevention into the school curriculum  </w:t>
      </w:r>
    </w:p>
    <w:p w14:paraId="00000142" w14:textId="77777777" w:rsidR="005351F1" w:rsidRDefault="005351F1"/>
    <w:p w14:paraId="00000143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yellow"/>
        </w:rPr>
      </w:pPr>
    </w:p>
    <w:p w14:paraId="00000144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  <w:highlight w:val="yellow"/>
        </w:rPr>
        <w:t xml:space="preserve">Theme </w:t>
      </w:r>
      <w:r>
        <w:rPr>
          <w:sz w:val="28"/>
          <w:szCs w:val="28"/>
          <w:highlight w:val="yellow"/>
        </w:rPr>
        <w:t>4</w:t>
      </w:r>
      <w:r>
        <w:rPr>
          <w:color w:val="000000"/>
          <w:sz w:val="28"/>
          <w:szCs w:val="28"/>
          <w:highlight w:val="yellow"/>
        </w:rPr>
        <w:t>: Capacity Building &amp; Training</w:t>
      </w:r>
    </w:p>
    <w:p w14:paraId="00000145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46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&lt;Files\\SRGBV Policy Review BEFORE CODING (2)&gt; - § 21 references coded  [0.60% Coverage]</w:t>
      </w:r>
    </w:p>
    <w:p w14:paraId="00000147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48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1 - 0.02% Coverage</w:t>
      </w:r>
    </w:p>
    <w:p w14:paraId="00000149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4A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Capacity building – Train service providers and sensitize communities to transform harmful social norms.</w:t>
      </w:r>
    </w:p>
    <w:p w14:paraId="0000014B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4C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2 - 0.04% Coverage</w:t>
      </w:r>
    </w:p>
    <w:p w14:paraId="0000014D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4E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Capacity building of teachers and stakeholders</w:t>
      </w:r>
    </w:p>
    <w:p w14:paraId="0000014F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50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Train teachers on alternative positive discipline, codes of conduct, and case management.</w:t>
      </w:r>
    </w:p>
    <w:p w14:paraId="0000015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Finalize and disseminate standard operating procedures on school-related gender-based violence.</w:t>
      </w:r>
    </w:p>
    <w:p w14:paraId="00000152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Sensitize boards of management and non-teaching staff (security,</w:t>
      </w:r>
      <w:r>
        <w:rPr>
          <w:color w:val="000000"/>
          <w:sz w:val="22"/>
          <w:szCs w:val="22"/>
        </w:rPr>
        <w:t xml:space="preserve"> cooks, matrons, admin staff) on prevention, identification, and response to violence.</w:t>
      </w:r>
    </w:p>
    <w:p w14:paraId="00000153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54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3 - 0.03% Coverage</w:t>
      </w:r>
    </w:p>
    <w:p w14:paraId="00000155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56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Compliance with performance standards – teachers must obtain certification, prepare schemes of work, lesson plans, assess learners, and gi</w:t>
      </w:r>
      <w:r>
        <w:rPr>
          <w:color w:val="000000"/>
          <w:sz w:val="22"/>
          <w:szCs w:val="22"/>
        </w:rPr>
        <w:t>ve feedback.</w:t>
      </w:r>
    </w:p>
    <w:p w14:paraId="00000157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58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4 - 0.03% Coverage</w:t>
      </w:r>
    </w:p>
    <w:p w14:paraId="00000159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5A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Continuous Professional Development (CPD) – teachers to attend training, workshops, and receive support from Curriculum Support Officers.</w:t>
      </w:r>
    </w:p>
    <w:p w14:paraId="0000015B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5C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5 - 0.02% Coverage</w:t>
      </w:r>
    </w:p>
    <w:p w14:paraId="0000015D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5E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Training and capacity building: The Act requires prescription of training needs for authorized officers involved in children’s services. </w:t>
      </w:r>
    </w:p>
    <w:p w14:paraId="0000015F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6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6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6 - 0.01% Coverage</w:t>
      </w:r>
    </w:p>
    <w:p w14:paraId="0000016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6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teacher training</w:t>
      </w:r>
    </w:p>
    <w:p w14:paraId="0000016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6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7 - 0.03% Coverage</w:t>
      </w:r>
    </w:p>
    <w:p w14:paraId="0000016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6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Capacity Building: Implement robus</w:t>
      </w:r>
      <w:r>
        <w:rPr>
          <w:color w:val="000000"/>
          <w:sz w:val="22"/>
          <w:szCs w:val="22"/>
        </w:rPr>
        <w:t>t sensitization and training for education stakeholders (MoE, TSC, teachers, learners, parents, and communities).</w:t>
      </w:r>
    </w:p>
    <w:p w14:paraId="0000016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6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8 - 0.07% Coverage</w:t>
      </w:r>
    </w:p>
    <w:p w14:paraId="0000016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6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It also cites preliminary efforts by teacher training institutions to establish gender committees—though with i</w:t>
      </w:r>
      <w:r>
        <w:rPr>
          <w:color w:val="000000"/>
          <w:sz w:val="22"/>
          <w:szCs w:val="22"/>
        </w:rPr>
        <w:t>nadequate training and weak enforcement capacity.</w:t>
      </w:r>
    </w:p>
    <w:p w14:paraId="0000016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6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9 - 0.03% Coverage</w:t>
      </w:r>
    </w:p>
    <w:p w14:paraId="0000016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6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• Enhance teacher training and student awareness so that students know how and where to report.</w:t>
      </w:r>
    </w:p>
    <w:p w14:paraId="0000017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7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10 - 0.02% Coverage</w:t>
      </w:r>
    </w:p>
    <w:p w14:paraId="0000017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7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Capacity development through gender training and mentoring for all education staff.</w:t>
      </w:r>
    </w:p>
    <w:p w14:paraId="0000017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7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11 - 0.03% Coverage</w:t>
      </w:r>
    </w:p>
    <w:p w14:paraId="0000017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7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Training clergy, teachers, and caregivers on safeguarding and reporting mechanisms.</w:t>
      </w:r>
    </w:p>
    <w:p w14:paraId="0000017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7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12 - 0.04% Coverage</w:t>
      </w:r>
    </w:p>
    <w:p w14:paraId="0000017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7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Capacity building </w:t>
      </w:r>
      <w:r>
        <w:rPr>
          <w:color w:val="000000"/>
          <w:sz w:val="22"/>
          <w:szCs w:val="22"/>
        </w:rPr>
        <w:t>of 25 women’s rights organizations, duty bearers, and policymakers on data-driven advocacy.</w:t>
      </w:r>
    </w:p>
    <w:p w14:paraId="0000017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7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13 - 0.02% Coverage</w:t>
      </w:r>
    </w:p>
    <w:p w14:paraId="0000017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7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Build teacher capacity using Connect with Respect and gender-responsive pedagogies.</w:t>
      </w:r>
    </w:p>
    <w:p w14:paraId="0000018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8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14 - 0.04% Coverage</w:t>
      </w:r>
    </w:p>
    <w:p w14:paraId="0000018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8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Training of </w:t>
      </w:r>
      <w:r>
        <w:rPr>
          <w:color w:val="000000"/>
          <w:sz w:val="22"/>
          <w:szCs w:val="22"/>
        </w:rPr>
        <w:t>teachers and fellows to identify, report, and support learners affected by trauma.</w:t>
      </w:r>
    </w:p>
    <w:p w14:paraId="0000018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8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15 - 0.03% Coverage</w:t>
      </w:r>
    </w:p>
    <w:p w14:paraId="0000018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8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Training of teachers and fellows in gender-responsive pedagogies.</w:t>
      </w:r>
    </w:p>
    <w:p w14:paraId="0000018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8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16 - 0.03% Coverage</w:t>
      </w:r>
    </w:p>
    <w:p w14:paraId="0000018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8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Teacher and Educational Staff Support – capacity-building, gender-responsive pedagogy, leadership opportunities for women</w:t>
      </w:r>
    </w:p>
    <w:p w14:paraId="0000018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8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17 - 0.04% Coverage</w:t>
      </w:r>
    </w:p>
    <w:p w14:paraId="0000018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8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• Build capacity of teachers, CSOs, and youth leaders in advocacy, data use, and safeguarding.</w:t>
      </w:r>
    </w:p>
    <w:p w14:paraId="0000019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9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</w:t>
      </w:r>
      <w:r>
        <w:rPr>
          <w:color w:val="000000"/>
          <w:sz w:val="22"/>
          <w:szCs w:val="22"/>
          <w:shd w:val="clear" w:color="auto" w:fill="D3D3D3"/>
        </w:rPr>
        <w:t>erence 18 - 0.02% Coverage</w:t>
      </w:r>
    </w:p>
    <w:p w14:paraId="0000019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9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Build local capacity for resilience and recovery.</w:t>
      </w:r>
    </w:p>
    <w:p w14:paraId="0000019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9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19 - 0.03% Coverage</w:t>
      </w:r>
    </w:p>
    <w:p w14:paraId="0000019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9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Conduct sensitization and training for head teachers on SRHR, SGBV, and gender policies.</w:t>
      </w:r>
    </w:p>
    <w:p w14:paraId="0000019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9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20 - 0.01% Coverage</w:t>
      </w:r>
    </w:p>
    <w:p w14:paraId="0000019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9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Teacher Training Programs   </w:t>
      </w:r>
    </w:p>
    <w:p w14:paraId="0000019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19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21 - 0.01% Coverage</w:t>
      </w:r>
    </w:p>
    <w:p w14:paraId="0000019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19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- Capacity </w:t>
      </w:r>
      <w:r>
        <w:rPr>
          <w:sz w:val="22"/>
          <w:szCs w:val="22"/>
        </w:rPr>
        <w:t>building</w:t>
      </w:r>
    </w:p>
    <w:p w14:paraId="000001A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A1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A2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8"/>
          <w:szCs w:val="28"/>
          <w:highlight w:val="red"/>
          <w:u w:val="single"/>
        </w:rPr>
      </w:pPr>
      <w:r>
        <w:rPr>
          <w:sz w:val="28"/>
          <w:szCs w:val="28"/>
          <w:highlight w:val="red"/>
          <w:u w:val="single"/>
        </w:rPr>
        <w:t>FOUNDATIONAL SYSTEMS AND STRUCTURES</w:t>
      </w:r>
    </w:p>
    <w:p w14:paraId="000001A3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8"/>
          <w:szCs w:val="28"/>
          <w:highlight w:val="red"/>
          <w:u w:val="single"/>
        </w:rPr>
      </w:pPr>
    </w:p>
    <w:p w14:paraId="000001A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A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Theme 1: Resource Mobilization &amp; Financial Commitment</w:t>
      </w:r>
    </w:p>
    <w:p w14:paraId="000001A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A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&lt;Files\\SRGBV Policy Review BEFORE CODING (2)&gt; - § 7 references coded  [0</w:t>
      </w:r>
      <w:r>
        <w:rPr>
          <w:sz w:val="22"/>
          <w:szCs w:val="22"/>
          <w:shd w:val="clear" w:color="auto" w:fill="D3D3D3"/>
        </w:rPr>
        <w:t>.17% Coverage]</w:t>
      </w:r>
    </w:p>
    <w:p w14:paraId="000001A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A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1 - 0.02% Coverage</w:t>
      </w:r>
    </w:p>
    <w:p w14:paraId="000001A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A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Resource mobilization – Secure adequate government and partner funding through gender-responsive budgeting. </w:t>
      </w:r>
    </w:p>
    <w:p w14:paraId="000001A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A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2 - 0.02% Coverage</w:t>
      </w:r>
    </w:p>
    <w:p w14:paraId="000001A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A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5. Costing &amp; Resource Mobilization</w:t>
      </w:r>
    </w:p>
    <w:p w14:paraId="000001B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The plan includes cost estimates for implementing strategic actions. There is a resource mobilization component to secure funding (financial &amp; human resources). </w:t>
      </w:r>
    </w:p>
    <w:p w14:paraId="000001B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B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3 - 0.03% Coverage</w:t>
      </w:r>
    </w:p>
    <w:p w14:paraId="000001B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B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Financing: Increase government and co-financed budget alloca</w:t>
      </w:r>
      <w:r>
        <w:rPr>
          <w:sz w:val="22"/>
          <w:szCs w:val="22"/>
        </w:rPr>
        <w:t>tions for GBV prevention, survivor support, and data systems.</w:t>
      </w:r>
    </w:p>
    <w:p w14:paraId="000001B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B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4 - 0.03% Coverage</w:t>
      </w:r>
    </w:p>
    <w:p w14:paraId="000001B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B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allocation of USD 2.79 million (FY2020/2021)</w:t>
      </w:r>
    </w:p>
    <w:p w14:paraId="000001B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B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5 - 0.02% Coverage</w:t>
      </w:r>
    </w:p>
    <w:p w14:paraId="000001B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B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Resource mobilization and affirmative action programmes (scholarships, loans, grants)</w:t>
      </w:r>
      <w:r>
        <w:rPr>
          <w:sz w:val="22"/>
          <w:szCs w:val="22"/>
        </w:rPr>
        <w:t>.</w:t>
      </w:r>
    </w:p>
    <w:p w14:paraId="000001B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B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6 - 0.02% Coverage</w:t>
      </w:r>
    </w:p>
    <w:p w14:paraId="000001B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C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Increase national and county-level financing for GBV prevention and response</w:t>
      </w:r>
    </w:p>
    <w:p w14:paraId="000001C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C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7 - 0.02% Coverage</w:t>
      </w:r>
    </w:p>
    <w:p w14:paraId="000001C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C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Set up a GBV Survivors Fund and promote economic empowerment.</w:t>
      </w:r>
    </w:p>
    <w:p w14:paraId="000001C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C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C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C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Theme 2: Multi-Sectoral Coordination &amp; Governance or Partnerships</w:t>
      </w:r>
    </w:p>
    <w:p w14:paraId="000001C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C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&lt;Files\\SRGBV Policy Review BEFORE CODING (2)&gt; - § 34 references coded  [1.42% Coverage]</w:t>
      </w:r>
    </w:p>
    <w:p w14:paraId="000001C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C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1 - 0.03% Coverage</w:t>
      </w:r>
    </w:p>
    <w:p w14:paraId="000001C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C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Multi-sectoral Coordination: The policy establishes coordination amon</w:t>
      </w:r>
      <w:r>
        <w:rPr>
          <w:sz w:val="22"/>
          <w:szCs w:val="22"/>
        </w:rPr>
        <w:t>g different ministries, state and non-state actors to ensure prevention and response activities are well aligned</w:t>
      </w:r>
    </w:p>
    <w:p w14:paraId="000001C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D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2 - 0.04% Coverage</w:t>
      </w:r>
    </w:p>
    <w:p w14:paraId="000001D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D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Use of a socio-ecological model</w:t>
      </w:r>
    </w:p>
    <w:p w14:paraId="000001D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 plan organizes its interventions along multiple layers of influence (chil</w:t>
      </w:r>
      <w:r>
        <w:rPr>
          <w:sz w:val="22"/>
          <w:szCs w:val="22"/>
        </w:rPr>
        <w:t xml:space="preserve">d, family, community, institutional, societal) using six strategic areas: Laws &amp; Policies, Family Support &amp; Economic Strengthening, Education &amp; Life Skills, Community Norms &amp; Values, Response &amp; Support Services and Coordination </w:t>
      </w:r>
    </w:p>
    <w:p w14:paraId="000001D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D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3 - 0.03% Covera</w:t>
      </w:r>
      <w:r>
        <w:rPr>
          <w:sz w:val="22"/>
          <w:szCs w:val="22"/>
          <w:shd w:val="clear" w:color="auto" w:fill="D3D3D3"/>
        </w:rPr>
        <w:t>ge</w:t>
      </w:r>
    </w:p>
    <w:p w14:paraId="000001D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D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3. Strategic Actors &amp; Multi-Sectoral Lead Roles</w:t>
      </w:r>
    </w:p>
    <w:p w14:paraId="000001D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 government lead is the Department of Children Services. Implementation involves multiple government ministries, county governments, civil society, development partners, and children themselves.</w:t>
      </w:r>
    </w:p>
    <w:p w14:paraId="000001D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D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4 - 0.03% Coverage</w:t>
      </w:r>
    </w:p>
    <w:p w14:paraId="000001D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D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Decentralization and delegation – TSC functions delegated to County Directors and other appointed agents for effective implementation.</w:t>
      </w:r>
    </w:p>
    <w:p w14:paraId="000001D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D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5 - 0.04% Coverage</w:t>
      </w:r>
    </w:p>
    <w:p w14:paraId="000001D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E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Facilitation of multi-agency collaboration led by the Minist</w:t>
      </w:r>
      <w:r>
        <w:rPr>
          <w:sz w:val="22"/>
          <w:szCs w:val="22"/>
        </w:rPr>
        <w:t xml:space="preserve">ry of Education to ensure effective implementation across stakeholders. </w:t>
      </w:r>
    </w:p>
    <w:p w14:paraId="000001E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E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6 - 0.07% Coverage</w:t>
      </w:r>
    </w:p>
    <w:p w14:paraId="000001E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E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National Policy Framework (Section 46): Cabinet Secretary to guide uniform implementation and care for victims</w:t>
      </w:r>
    </w:p>
    <w:p w14:paraId="000001E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E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7 - 0.08% Coverage</w:t>
      </w:r>
    </w:p>
    <w:p w14:paraId="000001E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E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Regulations (Section 47): Cabinet Secretaries for Internal Security, Prisons, Social Services, Education, and Health to collaborate.</w:t>
      </w:r>
    </w:p>
    <w:p w14:paraId="000001E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E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8 - 0.05% Coverage</w:t>
      </w:r>
    </w:p>
    <w:p w14:paraId="000001E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E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6. Partnerships: Institutionalize multi-sectoral leadership structures (national and count</w:t>
      </w:r>
      <w:r>
        <w:rPr>
          <w:sz w:val="22"/>
          <w:szCs w:val="22"/>
        </w:rPr>
        <w:t>y), and strengthen collaboration with women’s rights organizations and private sector</w:t>
      </w:r>
    </w:p>
    <w:p w14:paraId="000001E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E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9 - 0.03% Coverage</w:t>
      </w:r>
    </w:p>
    <w:p w14:paraId="000001E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F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5. Multi-Sectoral Coordination: Collaboration among education, child protection, justice, and health sectors for comprehensive GBV response</w:t>
      </w:r>
      <w:r>
        <w:rPr>
          <w:sz w:val="22"/>
          <w:szCs w:val="22"/>
        </w:rPr>
        <w:t>.</w:t>
      </w:r>
    </w:p>
    <w:p w14:paraId="000001F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F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10 - 0.04% Coverage</w:t>
      </w:r>
    </w:p>
    <w:p w14:paraId="000001F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F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Strengthen multi-sectoral coordination through the Department of Children’s Services, Ministry of Education, Health, Interior, and partners.</w:t>
      </w:r>
    </w:p>
    <w:p w14:paraId="000001F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F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11 - 0.04% Coverage</w:t>
      </w:r>
    </w:p>
    <w:p w14:paraId="000001F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F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6. Collaboration: Coordinate with development and program partners under the National Education Sector Strategic Plan (2023–2027) to mainstream gender and child protection in education.</w:t>
      </w:r>
    </w:p>
    <w:p w14:paraId="000001F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F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12 - 0.07% Coverage</w:t>
      </w:r>
    </w:p>
    <w:p w14:paraId="000001F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1F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Partnering with governments, civil s</w:t>
      </w:r>
      <w:r>
        <w:rPr>
          <w:sz w:val="22"/>
          <w:szCs w:val="22"/>
        </w:rPr>
        <w:t>ociety, and UN agencies to translate data into action (i.e. policy changes, programming) in countries where VACS is done.</w:t>
      </w:r>
    </w:p>
    <w:p w14:paraId="000001F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1F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13 - 0.02% Coverage</w:t>
      </w:r>
    </w:p>
    <w:p w14:paraId="000001F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0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Partnerships with ministries, constitutional offices, SAGAs, NGOs, and private sector.</w:t>
      </w:r>
    </w:p>
    <w:p w14:paraId="0000020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0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14</w:t>
      </w:r>
      <w:r>
        <w:rPr>
          <w:sz w:val="22"/>
          <w:szCs w:val="22"/>
          <w:shd w:val="clear" w:color="auto" w:fill="D3D3D3"/>
        </w:rPr>
        <w:t xml:space="preserve"> - 0.03% Coverage</w:t>
      </w:r>
    </w:p>
    <w:p w14:paraId="0000020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0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Strengthen government systems at national and county level under devolution.</w:t>
      </w:r>
    </w:p>
    <w:p w14:paraId="0000020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0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15 - 0.03% Coverage</w:t>
      </w:r>
    </w:p>
    <w:p w14:paraId="0000020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0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Foster partnerships (government, UN agencies, NGOs, private sector).</w:t>
      </w:r>
    </w:p>
    <w:p w14:paraId="0000020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0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16 - 0.03% Coverage</w:t>
      </w:r>
    </w:p>
    <w:p w14:paraId="0000020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0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Integrate services (health, nutrition, protection, and education).</w:t>
      </w:r>
    </w:p>
    <w:p w14:paraId="0000020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0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17 - 0.05% Coverage</w:t>
      </w:r>
    </w:p>
    <w:p w14:paraId="0000020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1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Collaboration with state agencies (Children’s Department, Police, Ministry of Education) for case management and legal follow-up</w:t>
      </w:r>
    </w:p>
    <w:p w14:paraId="0000021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1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18 - 0.03% Co</w:t>
      </w:r>
      <w:r>
        <w:rPr>
          <w:sz w:val="22"/>
          <w:szCs w:val="22"/>
          <w:shd w:val="clear" w:color="auto" w:fill="D3D3D3"/>
        </w:rPr>
        <w:t>verage</w:t>
      </w:r>
    </w:p>
    <w:p w14:paraId="0000021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1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Formation of a Nairobi Girls’ Education in Emergencies Working Group to coordinate advocacy.</w:t>
      </w:r>
    </w:p>
    <w:p w14:paraId="0000021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1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19 - 0.03% Coverage</w:t>
      </w:r>
    </w:p>
    <w:p w14:paraId="0000021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1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Multi-stakeholder engagement (MoE, State Department for Gender, CSOs).</w:t>
      </w:r>
    </w:p>
    <w:p w14:paraId="0000021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1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20 - 0.02% Coverage</w:t>
      </w:r>
    </w:p>
    <w:p w14:paraId="0000021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1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Advocacy for enactment of county-level GBV legislation.</w:t>
      </w:r>
    </w:p>
    <w:p w14:paraId="0000021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1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21 - 0.02% Coverage</w:t>
      </w:r>
    </w:p>
    <w:p w14:paraId="0000021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2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Multi-sector coordination among education, gender, and social protection ministries</w:t>
      </w:r>
    </w:p>
    <w:p w14:paraId="0000022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2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22 - 0.05% Coverage</w:t>
      </w:r>
    </w:p>
    <w:p w14:paraId="0000022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2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Collaboration with local authorities (Children</w:t>
      </w:r>
      <w:r>
        <w:rPr>
          <w:sz w:val="22"/>
          <w:szCs w:val="22"/>
        </w:rPr>
        <w:t>’s Office, Police) and community structures (nyumba kumi) for case management.</w:t>
      </w:r>
    </w:p>
    <w:p w14:paraId="0000022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2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23 - 0.03% Coverage</w:t>
      </w:r>
    </w:p>
    <w:p w14:paraId="0000022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2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Networking between schools and referral institutions for survivor support.</w:t>
      </w:r>
    </w:p>
    <w:p w14:paraId="0000022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2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24 - 0.03% Coverage</w:t>
      </w:r>
    </w:p>
    <w:p w14:paraId="0000022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2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Leadership: Develop/enforce laws, national policies, and education reforms</w:t>
      </w:r>
    </w:p>
    <w:p w14:paraId="0000022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2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25 - 0.04% Coverage</w:t>
      </w:r>
    </w:p>
    <w:p w14:paraId="0000022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3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5. Partnerships: Strengthen collaboration with ministries, unions, communities, families, and youth.</w:t>
      </w:r>
    </w:p>
    <w:p w14:paraId="0000023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3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26 - 0.02% Coverage</w:t>
      </w:r>
    </w:p>
    <w:p w14:paraId="0000023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3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1. Effective </w:t>
      </w:r>
      <w:r>
        <w:rPr>
          <w:sz w:val="22"/>
          <w:szCs w:val="22"/>
        </w:rPr>
        <w:t>School Leadership &amp; Community Engagement – collaborative design of SRGBV prevention plans.</w:t>
      </w:r>
    </w:p>
    <w:p w14:paraId="0000023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3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27 - 0.02% Coverage</w:t>
      </w:r>
    </w:p>
    <w:p w14:paraId="0000023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3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Foster partnerships with governments, NGOs, and communities.</w:t>
      </w:r>
    </w:p>
    <w:p w14:paraId="0000023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3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28 - 0.02% Coverage</w:t>
      </w:r>
    </w:p>
    <w:p w14:paraId="0000023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3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- Strengthen inter-agency coordination </w:t>
      </w:r>
      <w:r>
        <w:rPr>
          <w:sz w:val="22"/>
          <w:szCs w:val="22"/>
        </w:rPr>
        <w:t>and non-state partnerships.</w:t>
      </w:r>
    </w:p>
    <w:p w14:paraId="0000023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3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29 - 0.04% Coverage</w:t>
      </w:r>
    </w:p>
    <w:p w14:paraId="0000023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4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partnerships between ActionAid, local NGOs, ministries, and school communities.</w:t>
      </w:r>
    </w:p>
    <w:p w14:paraId="0000024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4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30 - 0.06% Coverage</w:t>
      </w:r>
    </w:p>
    <w:p w14:paraId="0000024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4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– Advocacy alliances with civil society coalitions (e.g., Elimu Yetu in Kenya; GNECC in Ghana; UNICEF coalitions in Mozambique).</w:t>
      </w:r>
    </w:p>
    <w:p w14:paraId="0000024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4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31 - 0.02% Coverage</w:t>
      </w:r>
    </w:p>
    <w:p w14:paraId="0000024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4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– Advocacy alliances with civil society coalitions </w:t>
      </w:r>
    </w:p>
    <w:p w14:paraId="0000024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4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32 - 0.19% Coverage</w:t>
      </w:r>
    </w:p>
    <w:p w14:paraId="0000024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4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Multisector</w:t>
      </w:r>
      <w:r>
        <w:rPr>
          <w:sz w:val="22"/>
          <w:szCs w:val="22"/>
        </w:rPr>
        <w:t>ial strategies to preventing teacher-perpetrated corporal punishment</w:t>
      </w:r>
    </w:p>
    <w:p w14:paraId="0000024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4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33 - 0.08% Coverage</w:t>
      </w:r>
    </w:p>
    <w:p w14:paraId="0000024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5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 article highlights multi-stakeholder responsibility for implementing protective laws (schools + Ministry of Education + Ministry of Justice + police).</w:t>
      </w:r>
    </w:p>
    <w:p w14:paraId="0000025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5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34 - 0.01% Coverage</w:t>
      </w:r>
    </w:p>
    <w:p w14:paraId="0000025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5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- Policy enactment at national and district level </w:t>
      </w:r>
    </w:p>
    <w:p w14:paraId="0000025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5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5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5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Theme 3: Legal, Policy &amp; Regulatory Frameworks</w:t>
      </w:r>
    </w:p>
    <w:p w14:paraId="0000025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5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&lt;Files\\SRGBV Policy Review BEFORE CODING (2)&gt; - § 23 references coded  [1.01% Coverage]</w:t>
      </w:r>
    </w:p>
    <w:p w14:paraId="0000025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5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1 - 0.03% Coverage</w:t>
      </w:r>
    </w:p>
    <w:p w14:paraId="0000025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5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Law Enforcement and Legal Frameworks: Strengthening enforcement of existing laws, ensuring victims have access to justice and the legal system responds adequately. </w:t>
      </w:r>
    </w:p>
    <w:p w14:paraId="0000025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6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2 - 0.03% Coverage</w:t>
      </w:r>
    </w:p>
    <w:p w14:paraId="0000026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6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2. Disseminating and enforcing child protection frameworks</w:t>
      </w:r>
    </w:p>
    <w:p w14:paraId="0000026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6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Disseminate child protection guidelines, policies, and national plans of action through education fora (e.g., head teachers’ conference, KNUT meetings).</w:t>
      </w:r>
    </w:p>
    <w:p w14:paraId="0000026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Launch, disseminate, and enforce school re-entry guidelines that address all forms of violence.</w:t>
      </w:r>
    </w:p>
    <w:p w14:paraId="0000026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6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</w:t>
      </w:r>
      <w:r>
        <w:rPr>
          <w:sz w:val="22"/>
          <w:szCs w:val="22"/>
          <w:shd w:val="clear" w:color="auto" w:fill="D3D3D3"/>
        </w:rPr>
        <w:t>ference 3 - 0.04% Coverage</w:t>
      </w:r>
    </w:p>
    <w:p w14:paraId="0000026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6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Use of a socio-ecological model</w:t>
      </w:r>
    </w:p>
    <w:p w14:paraId="0000026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 plan organizes its interventions along multiple layers of influence (child, family, community, institutional, societal) using six strategic areas: Laws &amp; Policies, Family Support &amp; Economic</w:t>
      </w:r>
      <w:r>
        <w:rPr>
          <w:sz w:val="22"/>
          <w:szCs w:val="22"/>
        </w:rPr>
        <w:t xml:space="preserve"> Strengthening, Education &amp; Life Skills, Community Norms &amp; Values, Response &amp; Support Services and Coordination </w:t>
      </w:r>
    </w:p>
    <w:p w14:paraId="0000026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6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4 - 0.04% Coverage</w:t>
      </w:r>
    </w:p>
    <w:p w14:paraId="0000026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6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Approval, review, deregistration mechanisms: Any child welfare programme must be approved by the Council; county advisory committees review these programmes annually; non-conforming programmes can be deregistered.</w:t>
      </w:r>
    </w:p>
    <w:p w14:paraId="0000026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7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5 - 0.02% Coverage</w:t>
      </w:r>
    </w:p>
    <w:p w14:paraId="0000027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7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. Laws and </w:t>
      </w:r>
      <w:r>
        <w:rPr>
          <w:sz w:val="22"/>
          <w:szCs w:val="22"/>
        </w:rPr>
        <w:t>Policies: Ratify and implement ILO Convention 190 on workplace GBV.</w:t>
      </w:r>
    </w:p>
    <w:p w14:paraId="0000027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7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6 - 0.11% Coverage</w:t>
      </w:r>
    </w:p>
    <w:p w14:paraId="0000027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7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Establishment of the GEF National Advisory Committee, National Steering Committee, and County GBV/FGM Committees; launch of County GBV Recovery Centre Guidel</w:t>
      </w:r>
      <w:r>
        <w:rPr>
          <w:sz w:val="22"/>
          <w:szCs w:val="22"/>
        </w:rPr>
        <w:t>ines;</w:t>
      </w:r>
    </w:p>
    <w:p w14:paraId="0000027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7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7 - 0.08% Coverage</w:t>
      </w:r>
    </w:p>
    <w:p w14:paraId="0000027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7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Global and Regional Frameworks: Implementation aligned with CEDAW, CRC Article 19, the African Charter on the Rights and Welfare of the Child, and Beijing Platform for Action.</w:t>
      </w:r>
    </w:p>
    <w:p w14:paraId="0000027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2. National Policy Responses: Revision/e</w:t>
      </w:r>
      <w:r>
        <w:rPr>
          <w:sz w:val="22"/>
          <w:szCs w:val="22"/>
        </w:rPr>
        <w:t>nforcement of teacher codes of conduct; laws to criminalize and sanction SRGBV; parliamentary bills for mandatory reporting (e.g., Kenya case); central databases tracking offenders.</w:t>
      </w:r>
    </w:p>
    <w:p w14:paraId="0000027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7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8 - 0.05% Coverage</w:t>
      </w:r>
    </w:p>
    <w:p w14:paraId="0000027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7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• Kenya’s parliamentary bill (2008–2011) — </w:t>
      </w:r>
      <w:r>
        <w:rPr>
          <w:sz w:val="22"/>
          <w:szCs w:val="22"/>
        </w:rPr>
        <w:t>initiated by ActionAid and partners to criminalize sexual abuse by teachers and mandate reporting.</w:t>
      </w:r>
    </w:p>
    <w:p w14:paraId="0000028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8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8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9 - 0.02% Coverage</w:t>
      </w:r>
    </w:p>
    <w:p w14:paraId="0000028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8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Develop and implement a National Prevention and Response Plan based on 2019 findings.</w:t>
      </w:r>
    </w:p>
    <w:p w14:paraId="0000028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8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10 - 0.12% Coverage</w:t>
      </w:r>
    </w:p>
    <w:p w14:paraId="0000028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8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 report notes that following the 2019 findings, a multi-sectoral technical working group led by the Department of Children’s Services developed a National Prevention and Response Plan (2020–2024) to operationalize survey results</w:t>
      </w:r>
    </w:p>
    <w:p w14:paraId="0000028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8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11 - 0.04% Coverage</w:t>
      </w:r>
    </w:p>
    <w:p w14:paraId="0000028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8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Policy Development: The Ministry of Education, in collaboration with partners, should develop comprehensive SRGBV guidelines for basic education and training institutions.</w:t>
      </w:r>
    </w:p>
    <w:p w14:paraId="0000028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8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12 - 0.03% Coverage</w:t>
      </w:r>
    </w:p>
    <w:p w14:paraId="0000028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9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4. Enforcement: En</w:t>
      </w:r>
      <w:r>
        <w:rPr>
          <w:sz w:val="22"/>
          <w:szCs w:val="22"/>
        </w:rPr>
        <w:t>sure effective implementation and monitoring of SRGBV policies through accountability and school-based gender committees.</w:t>
      </w:r>
    </w:p>
    <w:p w14:paraId="0000029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9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13 - 0.12% Coverage</w:t>
      </w:r>
    </w:p>
    <w:p w14:paraId="0000029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9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The brief does not report ongoing implementation but references existing legal frameworks such as the </w:t>
      </w:r>
      <w:r>
        <w:rPr>
          <w:sz w:val="22"/>
          <w:szCs w:val="22"/>
        </w:rPr>
        <w:t>Constitution (2010), Children’s Act (2022), TSC Code of Conduct (2015), and National Prevention and Response Plan on Violence Against Children (2019–2023) as key anchors.</w:t>
      </w:r>
    </w:p>
    <w:p w14:paraId="0000029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9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14 - 0.01% Coverage</w:t>
      </w:r>
    </w:p>
    <w:p w14:paraId="0000029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9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governance reforms for gender balance.</w:t>
      </w:r>
    </w:p>
    <w:p w14:paraId="0000029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9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 xml:space="preserve">Reference 15 </w:t>
      </w:r>
      <w:r>
        <w:rPr>
          <w:sz w:val="22"/>
          <w:szCs w:val="22"/>
          <w:shd w:val="clear" w:color="auto" w:fill="D3D3D3"/>
        </w:rPr>
        <w:t>- 0.03% Coverage</w:t>
      </w:r>
    </w:p>
    <w:p w14:paraId="0000029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9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Introduce and enforce national guidelines allowing pregnant girls to resume education after childbirth.</w:t>
      </w:r>
    </w:p>
    <w:p w14:paraId="0000029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9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16 - 0.02% Coverage</w:t>
      </w:r>
    </w:p>
    <w:p w14:paraId="0000029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A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Integrate SRGBV prevention into education sector plans and budgets</w:t>
      </w:r>
    </w:p>
    <w:p w14:paraId="000002A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A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17 - 0.03% Coverage</w:t>
      </w:r>
    </w:p>
    <w:p w14:paraId="000002A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A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1. Leadership: Develop/enforce laws, national policies, and education reforms</w:t>
      </w:r>
    </w:p>
    <w:p w14:paraId="000002A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A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18 - 0.02% Coverage</w:t>
      </w:r>
    </w:p>
    <w:p w14:paraId="000002A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A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2. Codes of Conduct – defining SRGBV, promoting zero tolerance, ensuring accountability.</w:t>
      </w:r>
    </w:p>
    <w:p w14:paraId="000002A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A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19 - 0.04% Coverage</w:t>
      </w:r>
    </w:p>
    <w:p w14:paraId="000002A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A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Implement Break Free P</w:t>
      </w:r>
      <w:r>
        <w:rPr>
          <w:sz w:val="22"/>
          <w:szCs w:val="22"/>
        </w:rPr>
        <w:t>rogramme to coordinate anti-FGM, child marriage, and re-entry policy implementation.</w:t>
      </w:r>
    </w:p>
    <w:p w14:paraId="000002A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A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20 - 0.03% Coverage</w:t>
      </w:r>
    </w:p>
    <w:p w14:paraId="000002A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B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Develop Safeguarding and Duty of Care Guidelines within the Make Way consortium.</w:t>
      </w:r>
    </w:p>
    <w:p w14:paraId="000002B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B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21 - 0.02% Coverage</w:t>
      </w:r>
    </w:p>
    <w:p w14:paraId="000002B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B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Ratify and implement I</w:t>
      </w:r>
      <w:r>
        <w:rPr>
          <w:sz w:val="22"/>
          <w:szCs w:val="22"/>
        </w:rPr>
        <w:t>LO Convention 190 on GBV in the workplace.</w:t>
      </w:r>
    </w:p>
    <w:p w14:paraId="000002B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B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22 - 0.03% Coverage</w:t>
      </w:r>
    </w:p>
    <w:p w14:paraId="000002B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B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Institutionalize leadership structures (National Advisory and Steering Committees, County GEF teams)</w:t>
      </w:r>
    </w:p>
    <w:p w14:paraId="000002B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B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23 - 0.06% Coverage</w:t>
      </w:r>
    </w:p>
    <w:p w14:paraId="000002B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B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– Global framework: UNCRC (1990) obligates states to protect children from sexual exploitation.</w:t>
      </w:r>
    </w:p>
    <w:p w14:paraId="000002BD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8"/>
          <w:szCs w:val="28"/>
          <w:highlight w:val="red"/>
          <w:u w:val="single"/>
        </w:rPr>
      </w:pPr>
    </w:p>
    <w:p w14:paraId="000002B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2BF" w14:textId="77777777" w:rsidR="005351F1" w:rsidRDefault="00187E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8"/>
          <w:szCs w:val="28"/>
          <w:highlight w:val="red"/>
        </w:rPr>
      </w:pPr>
      <w:r>
        <w:rPr>
          <w:sz w:val="28"/>
          <w:szCs w:val="28"/>
          <w:highlight w:val="red"/>
        </w:rPr>
        <w:t>ACCOUNTABILITY AND ENABLING ENVIRONMENT</w:t>
      </w:r>
    </w:p>
    <w:p w14:paraId="000002C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red"/>
        </w:rPr>
      </w:pPr>
    </w:p>
    <w:p w14:paraId="000002C1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red"/>
        </w:rPr>
      </w:pPr>
    </w:p>
    <w:p w14:paraId="000002C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Theme 1: Monitoring, Evaluation &amp; Evidence Generation</w:t>
      </w:r>
    </w:p>
    <w:p w14:paraId="000002C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C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&lt;Files\\SRGBV Policy Review BEFORE CODING (2)&gt; - § 32 references coded  [1.19% Coverage]</w:t>
      </w:r>
    </w:p>
    <w:p w14:paraId="000002C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C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1 - 0.03% Coverage</w:t>
      </w:r>
    </w:p>
    <w:p w14:paraId="000002C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C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2. Evidence-based and survey-informed design</w:t>
      </w:r>
    </w:p>
    <w:p w14:paraId="000002C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It builds on the findings of the 2019 Violence Against Children Survey (VACS) to identify p</w:t>
      </w:r>
      <w:r>
        <w:rPr>
          <w:sz w:val="22"/>
          <w:szCs w:val="22"/>
        </w:rPr>
        <w:t xml:space="preserve">revalence, risk, and protective factors for VAC.  It also draws on global evidence (e.g. INSPIRE framework) and “prudent programmes” already in Kenya. </w:t>
      </w:r>
    </w:p>
    <w:p w14:paraId="000002C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C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2 - 0.04% Coverage</w:t>
      </w:r>
    </w:p>
    <w:p w14:paraId="000002C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C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4. Monitoring, Evaluation &amp; Data Systems</w:t>
      </w:r>
    </w:p>
    <w:p w14:paraId="000002C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There's a Monitoring Plan to collect reliable data at national, county, and sub-county levels.  Core indicators, results matrix, and annexes are included to track outputs, outcomes, and impact.  An evaluation at end of five-year implementation is planned.</w:t>
      </w:r>
    </w:p>
    <w:p w14:paraId="000002C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D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3 - 0.03% Coverage</w:t>
      </w:r>
    </w:p>
    <w:p w14:paraId="000002D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D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Quality assurance &amp; monitoring – TSC conducts monitoring and evaluation through Quality Assurance and Standards Officers.</w:t>
      </w:r>
    </w:p>
    <w:p w14:paraId="000002D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D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4 - 0.03% Coverage</w:t>
      </w:r>
    </w:p>
    <w:p w14:paraId="000002D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D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Performance appraisal system – annual staff appraisals used for promotio</w:t>
      </w:r>
      <w:r>
        <w:rPr>
          <w:sz w:val="22"/>
          <w:szCs w:val="22"/>
        </w:rPr>
        <w:t>n, deployment, training needs, and rewards.</w:t>
      </w:r>
    </w:p>
    <w:p w14:paraId="000002D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D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D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5 - 0.03% Coverage</w:t>
      </w:r>
    </w:p>
    <w:p w14:paraId="000002D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D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 National Council for Children’s Services is mandated to collaborate with state &amp; non-state agencies to monitor &amp; evaluate social programmes for children</w:t>
      </w:r>
    </w:p>
    <w:p w14:paraId="000002D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D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6 - 0.04% Co</w:t>
      </w:r>
      <w:r>
        <w:rPr>
          <w:sz w:val="22"/>
          <w:szCs w:val="22"/>
          <w:shd w:val="clear" w:color="auto" w:fill="D3D3D3"/>
        </w:rPr>
        <w:t>verage</w:t>
      </w:r>
    </w:p>
    <w:p w14:paraId="000002D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D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They include an implementation framework with roles, responsibilities, coordination mechanisms, monitoring &amp; evaluation, and reporting structures</w:t>
      </w:r>
    </w:p>
    <w:p w14:paraId="000002E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E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7 - 0.03% Coverage</w:t>
      </w:r>
    </w:p>
    <w:p w14:paraId="000002E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E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Use of reporting mechanisms and review of the guidelines over time to a</w:t>
      </w:r>
      <w:r>
        <w:rPr>
          <w:sz w:val="22"/>
          <w:szCs w:val="22"/>
        </w:rPr>
        <w:t>dapt to challenges.</w:t>
      </w:r>
    </w:p>
    <w:p w14:paraId="000002E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E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8 - 0.03% Coverage</w:t>
      </w:r>
    </w:p>
    <w:p w14:paraId="000002E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E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2. Leadership &amp; Accountability: Integrate GBV indicators into performance contracts and develop accountability frameworks.</w:t>
      </w:r>
    </w:p>
    <w:p w14:paraId="000002E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E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9 - 0.02% Coverage</w:t>
      </w:r>
    </w:p>
    <w:p w14:paraId="000002E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E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Data: Introduce GBV module in KDHS (2022), develop GBV Management Information System</w:t>
      </w:r>
    </w:p>
    <w:p w14:paraId="000002E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E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10 - 0.03% Coverage</w:t>
      </w:r>
    </w:p>
    <w:p w14:paraId="000002E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E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integration of GBV data into KDHS 2022</w:t>
      </w:r>
    </w:p>
    <w:p w14:paraId="000002F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F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11 - 0.02% Coverage</w:t>
      </w:r>
    </w:p>
    <w:p w14:paraId="000002F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F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Establish integrated data systems to track and monitor cases of violence</w:t>
      </w:r>
    </w:p>
    <w:p w14:paraId="000002F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F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12 - 0.07% Coverage</w:t>
      </w:r>
    </w:p>
    <w:p w14:paraId="000002F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F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It also highlights ongoing integration of VACS data into policy reviews, child protection information systems, and county-level planning.</w:t>
      </w:r>
    </w:p>
    <w:p w14:paraId="000002F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F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 xml:space="preserve">Reference </w:t>
      </w:r>
      <w:r>
        <w:rPr>
          <w:sz w:val="22"/>
          <w:szCs w:val="22"/>
          <w:shd w:val="clear" w:color="auto" w:fill="D3D3D3"/>
        </w:rPr>
        <w:t>13 - 0.03% Coverage</w:t>
      </w:r>
    </w:p>
    <w:p w14:paraId="000002F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F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. Evidence Generation: Conduct primary research on the prevalence, nature, and awareness of SRGBV and reporting mechanisms.</w:t>
      </w:r>
    </w:p>
    <w:p w14:paraId="000002F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2F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14 - 0.03% Coverage</w:t>
      </w:r>
    </w:p>
    <w:p w14:paraId="000002F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2F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4. Enforcement: Ensure effective implementation and monitoring of SRGBV policie</w:t>
      </w:r>
      <w:r>
        <w:rPr>
          <w:sz w:val="22"/>
          <w:szCs w:val="22"/>
        </w:rPr>
        <w:t>s through accountability and school-based gender committees.</w:t>
      </w:r>
    </w:p>
    <w:p w14:paraId="0000030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0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15 - 0.03% Coverage</w:t>
      </w:r>
    </w:p>
    <w:p w14:paraId="0000030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0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. Data Strengthening: Establish systematic collection and analysis of SRGBV data within education and protection systems.</w:t>
      </w:r>
    </w:p>
    <w:p w14:paraId="0000030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0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16 - 0.19% Coverage</w:t>
      </w:r>
    </w:p>
    <w:p w14:paraId="0000030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0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The factsheet itself does not report on actual programs implemented; it refers to how the data are used (for informing policy, advocacy, programming) by stakeholders.</w:t>
      </w:r>
    </w:p>
    <w:p w14:paraId="00000308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09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17 - 0.03% Coverage</w:t>
      </w:r>
    </w:p>
    <w:p w14:paraId="0000030A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0B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Use of nationally representative surveys (VACS) to gene</w:t>
      </w:r>
      <w:r>
        <w:rPr>
          <w:sz w:val="22"/>
          <w:szCs w:val="22"/>
        </w:rPr>
        <w:t>rate evidence.</w:t>
      </w:r>
    </w:p>
    <w:p w14:paraId="0000030C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0D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18 - 0.04% Coverage</w:t>
      </w:r>
    </w:p>
    <w:p w14:paraId="0000030E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0F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• Secondary analyses of survey data to dig deeper into particular forms of violence and risk factors. </w:t>
      </w:r>
    </w:p>
    <w:p w14:paraId="00000310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11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19 - 0.03% Coverage</w:t>
      </w:r>
    </w:p>
    <w:p w14:paraId="00000312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13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• Advocacy and awareness raising, both globally and nationally, using the </w:t>
      </w:r>
      <w:r>
        <w:rPr>
          <w:sz w:val="22"/>
          <w:szCs w:val="22"/>
        </w:rPr>
        <w:t xml:space="preserve">data. </w:t>
      </w:r>
    </w:p>
    <w:p w14:paraId="00000314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15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20 - 0.06% Coverage</w:t>
      </w:r>
    </w:p>
    <w:p w14:paraId="00000316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17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VACS findings were used to inform the National Prevention and Response Plan on Violence Against Children (2019-2023). </w:t>
      </w:r>
    </w:p>
    <w:p w14:paraId="0000031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000031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1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21 - 0.09% Coverage</w:t>
      </w:r>
    </w:p>
    <w:p w14:paraId="0000031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1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ata dissemination via the stakeholder report, country webpages, and “Data to Action” processes that bring stakeholders together to interpret the data and plan responses.</w:t>
      </w:r>
    </w:p>
    <w:p w14:paraId="0000031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1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22 - 0.02% Coverage</w:t>
      </w:r>
    </w:p>
    <w:p w14:paraId="0000031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2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Establishment of M&amp;E systems and gender-responsive r</w:t>
      </w:r>
      <w:r>
        <w:rPr>
          <w:sz w:val="22"/>
          <w:szCs w:val="22"/>
        </w:rPr>
        <w:t>eporting.</w:t>
      </w:r>
    </w:p>
    <w:p w14:paraId="0000032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2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23 - 0.02% Coverage</w:t>
      </w:r>
    </w:p>
    <w:p w14:paraId="0000032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2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Gender analysis in all planning, implementation, and M&amp;E activities.</w:t>
      </w:r>
    </w:p>
    <w:p w14:paraId="0000032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2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24 - 0.03% Coverage</w:t>
      </w:r>
    </w:p>
    <w:p w14:paraId="0000032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2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Use evidence-based programming, data dashboards, and digital tools.</w:t>
      </w:r>
    </w:p>
    <w:p w14:paraId="0000032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2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25 - 0.04% Coverage</w:t>
      </w:r>
    </w:p>
    <w:p w14:paraId="0000032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2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Development and implementation of a GBV Prevention and Management Strategy using an evidence-based approach.</w:t>
      </w:r>
    </w:p>
    <w:p w14:paraId="0000032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2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26 - 0.01% Coverage</w:t>
      </w:r>
    </w:p>
    <w:p w14:paraId="0000032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3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Strengthen data systems to track re-entry and completion.</w:t>
      </w:r>
    </w:p>
    <w:p w14:paraId="0000033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3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27 - 0.02% Coverage</w:t>
      </w:r>
    </w:p>
    <w:p w14:paraId="0000033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3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Baseline surveys to</w:t>
      </w:r>
      <w:r>
        <w:rPr>
          <w:sz w:val="22"/>
          <w:szCs w:val="22"/>
        </w:rPr>
        <w:t xml:space="preserve"> identify community-specific GBV needs.</w:t>
      </w:r>
    </w:p>
    <w:p w14:paraId="0000033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3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28 - 0.02% Coverage</w:t>
      </w:r>
    </w:p>
    <w:p w14:paraId="0000033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3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6. Evidence: Strengthen monitoring, evaluation, and data systems.</w:t>
      </w:r>
    </w:p>
    <w:p w14:paraId="0000033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3A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29 - 0.03% Coverage</w:t>
      </w:r>
    </w:p>
    <w:p w14:paraId="0000033B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3C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• Engage in data-driven advocacy for education in emergencies and fragile contexts.</w:t>
      </w:r>
    </w:p>
    <w:p w14:paraId="0000033D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3E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30 - 0.02% Coverage</w:t>
      </w:r>
    </w:p>
    <w:p w14:paraId="0000033F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40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Establish performance benchmarks and accountability systems.</w:t>
      </w:r>
    </w:p>
    <w:p w14:paraId="00000341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42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31 - 0.02% Coverage</w:t>
      </w:r>
    </w:p>
    <w:p w14:paraId="00000343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44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Adopt GBV indicators in government performance contracts.</w:t>
      </w:r>
    </w:p>
    <w:p w14:paraId="00000345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46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  <w:r>
        <w:rPr>
          <w:sz w:val="22"/>
          <w:szCs w:val="22"/>
          <w:shd w:val="clear" w:color="auto" w:fill="D3D3D3"/>
        </w:rPr>
        <w:t>Reference 32 - 0.02% Coverage</w:t>
      </w:r>
    </w:p>
    <w:p w14:paraId="00000347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  <w:shd w:val="clear" w:color="auto" w:fill="D3D3D3"/>
        </w:rPr>
      </w:pPr>
    </w:p>
    <w:p w14:paraId="00000348" w14:textId="77777777" w:rsidR="005351F1" w:rsidRDefault="00187E9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- Strengthen GBV data collection throu</w:t>
      </w:r>
      <w:r>
        <w:rPr>
          <w:sz w:val="22"/>
          <w:szCs w:val="22"/>
        </w:rPr>
        <w:t>gh the KDHS and GBV Information Management Systems</w:t>
      </w:r>
    </w:p>
    <w:p w14:paraId="00000349" w14:textId="77777777" w:rsidR="005351F1" w:rsidRDefault="005351F1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2"/>
          <w:szCs w:val="22"/>
        </w:rPr>
      </w:pPr>
    </w:p>
    <w:p w14:paraId="0000034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sz w:val="28"/>
          <w:szCs w:val="28"/>
          <w:highlight w:val="red"/>
        </w:rPr>
      </w:pPr>
    </w:p>
    <w:p w14:paraId="0000034B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8"/>
          <w:szCs w:val="28"/>
          <w:highlight w:val="red"/>
        </w:rPr>
      </w:pPr>
    </w:p>
    <w:p w14:paraId="0000034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sz w:val="28"/>
          <w:szCs w:val="28"/>
          <w:highlight w:val="red"/>
        </w:rPr>
      </w:pPr>
    </w:p>
    <w:p w14:paraId="0000034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ind w:left="720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  <w:highlight w:val="yellow"/>
        </w:rPr>
        <w:t>Theme 2:  Community or Stakeholder or Public Engagement &amp; Norms Change</w:t>
      </w:r>
    </w:p>
    <w:p w14:paraId="0000034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4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&lt;Files\\SRGBV Policy Review BEFORE CODING (2)&gt; - § 28 references coded  [0.70% Coverage]</w:t>
      </w:r>
    </w:p>
    <w:p w14:paraId="0000035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5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1 - 0.02% Coverage</w:t>
      </w:r>
    </w:p>
    <w:p w14:paraId="0000035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5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Stigma reduction &amp; inclusion – Promote awareness, reduce stigma, and ensure participation of all groups, including men, boys, and Persons with Disabilities.</w:t>
      </w:r>
    </w:p>
    <w:p w14:paraId="0000035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5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2 - 0.03% Coverage</w:t>
      </w:r>
    </w:p>
    <w:p w14:paraId="0000035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5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Disseminate child protection guidelines, policies, and national plans of action through education fora (e.g., head teachers’ conference, KNUT meetings).</w:t>
      </w:r>
    </w:p>
    <w:p w14:paraId="00000358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Launch, disseminate, and enforce school re-entry guidelines that address all forms of violence.</w:t>
      </w:r>
    </w:p>
    <w:p w14:paraId="00000359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5A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</w:t>
      </w:r>
      <w:r>
        <w:rPr>
          <w:color w:val="000000"/>
          <w:sz w:val="22"/>
          <w:szCs w:val="22"/>
          <w:shd w:val="clear" w:color="auto" w:fill="D3D3D3"/>
        </w:rPr>
        <w:t>ference 3 - 0.04% Coverage</w:t>
      </w:r>
    </w:p>
    <w:p w14:paraId="0000035B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5C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 Use of a socio-ecological model</w:t>
      </w:r>
    </w:p>
    <w:p w14:paraId="0000035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plan organizes its interventions along multiple layers of influence (child, family, community, institutional, societal) using six strategic areas: Laws &amp; Policies, Family Support &amp; Economic</w:t>
      </w:r>
      <w:r>
        <w:rPr>
          <w:color w:val="000000"/>
          <w:sz w:val="22"/>
          <w:szCs w:val="22"/>
        </w:rPr>
        <w:t xml:space="preserve"> Strengthening, Education &amp; Life Skills, Community Norms &amp; Values, Response &amp; Support Services and Coordination </w:t>
      </w:r>
    </w:p>
    <w:p w14:paraId="0000035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5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4 - 0.03% Coverage</w:t>
      </w:r>
    </w:p>
    <w:p w14:paraId="0000036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6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 Communication &amp; Dissemination Strategy</w:t>
      </w:r>
    </w:p>
    <w:p w14:paraId="00000362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There is a communication plan for disseminating the NPRP and its relat</w:t>
      </w:r>
      <w:r>
        <w:rPr>
          <w:color w:val="000000"/>
          <w:sz w:val="22"/>
          <w:szCs w:val="22"/>
        </w:rPr>
        <w:t xml:space="preserve">ed guidelines/strategies among stakeholders. </w:t>
      </w:r>
    </w:p>
    <w:p w14:paraId="0000036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Public behaviour change campaigns are part of the strategy.</w:t>
      </w:r>
    </w:p>
    <w:p w14:paraId="0000036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6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5 - 0.02% Coverage</w:t>
      </w:r>
    </w:p>
    <w:p w14:paraId="0000036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6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Public awareness programs: The Council shall formulate, approve, evaluate &amp; monitor public education programs on childr</w:t>
      </w:r>
      <w:r>
        <w:rPr>
          <w:color w:val="000000"/>
          <w:sz w:val="22"/>
          <w:szCs w:val="22"/>
        </w:rPr>
        <w:t>en’s rights and welfare</w:t>
      </w:r>
    </w:p>
    <w:p w14:paraId="0000036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6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6 - 0.01% Coverage</w:t>
      </w:r>
    </w:p>
    <w:p w14:paraId="0000036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6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awareness campaigns</w:t>
      </w:r>
    </w:p>
    <w:p w14:paraId="0000036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6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7 - 0.01% Coverage</w:t>
      </w:r>
    </w:p>
    <w:p w14:paraId="0000036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6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community-based dialogues</w:t>
      </w:r>
    </w:p>
    <w:p w14:paraId="0000037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7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8 - 0.05% Coverage</w:t>
      </w:r>
    </w:p>
    <w:p w14:paraId="0000037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7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ther’s Clubs in West and Central Africa — community support, monitoring attendance, and income generation for girls’ education.</w:t>
      </w:r>
    </w:p>
    <w:p w14:paraId="0000037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7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9 - 0.02% Coverage</w:t>
      </w:r>
    </w:p>
    <w:p w14:paraId="0000037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7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• Scale up community and school-based prevention programs targeting norms and attitudes.</w:t>
      </w:r>
    </w:p>
    <w:p w14:paraId="0000037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7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10 - 0.02% Coverage</w:t>
      </w:r>
    </w:p>
    <w:p w14:paraId="0000037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7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• Align national responses to the INSPIRE framework (norms and values</w:t>
      </w:r>
    </w:p>
    <w:p w14:paraId="0000037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7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11 - 0.01% Coverage</w:t>
      </w:r>
    </w:p>
    <w:p w14:paraId="0000037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7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parenting, income strengthening</w:t>
      </w:r>
    </w:p>
    <w:p w14:paraId="0000038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8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12 - 0.03% Coverage</w:t>
      </w:r>
    </w:p>
    <w:p w14:paraId="0000038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8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• Engage families, teachers, and communities in raising norms around SRGBV.</w:t>
      </w:r>
    </w:p>
    <w:p w14:paraId="0000038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8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13 - 0.03% Coverage</w:t>
      </w:r>
    </w:p>
    <w:p w14:paraId="0000038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8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Advocacy and communication strategies to promote gender equality and eliminate stereotypes.</w:t>
      </w:r>
    </w:p>
    <w:p w14:paraId="0000038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8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14 - 0.05% Coverage</w:t>
      </w:r>
    </w:p>
    <w:p w14:paraId="0000038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8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Build community capa</w:t>
      </w:r>
      <w:r>
        <w:rPr>
          <w:color w:val="000000"/>
          <w:sz w:val="22"/>
          <w:szCs w:val="22"/>
        </w:rPr>
        <w:t>city and promote behavior change through advocacy and Communication for Development (C4D).</w:t>
      </w:r>
    </w:p>
    <w:p w14:paraId="0000038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8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15 - 0.02% Coverage</w:t>
      </w:r>
    </w:p>
    <w:p w14:paraId="0000038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8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plus health and nutrition linkages under social protection.</w:t>
      </w:r>
    </w:p>
    <w:p w14:paraId="0000039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9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16 - 0.03% Coverage</w:t>
      </w:r>
    </w:p>
    <w:p w14:paraId="0000039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9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Creation of awareness campaigns on chil</w:t>
      </w:r>
      <w:r>
        <w:rPr>
          <w:color w:val="000000"/>
          <w:sz w:val="22"/>
          <w:szCs w:val="22"/>
        </w:rPr>
        <w:t>d protection and positive discipline.</w:t>
      </w:r>
    </w:p>
    <w:p w14:paraId="0000039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9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17 - 0.02% Coverage</w:t>
      </w:r>
    </w:p>
    <w:p w14:paraId="0000039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9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Awareness creation among teachers, families, and communities about the policy.</w:t>
      </w:r>
    </w:p>
    <w:p w14:paraId="0000039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9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18 - 0.03% Coverage</w:t>
      </w:r>
    </w:p>
    <w:p w14:paraId="0000039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9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Advocacy and public engagement through storytelling and partnerships.</w:t>
      </w:r>
    </w:p>
    <w:p w14:paraId="0000039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9D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19 - 0.03% Coverage</w:t>
      </w:r>
    </w:p>
    <w:p w14:paraId="0000039E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9F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Creation of community awareness and advocacy forums on GBV reporting and prevention.</w:t>
      </w:r>
    </w:p>
    <w:p w14:paraId="000003A0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A1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20 - 0.03% Coverage</w:t>
      </w:r>
    </w:p>
    <w:p w14:paraId="000003A2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A3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Awareness creation on GBV and children’s rights within schools and communities.</w:t>
      </w:r>
    </w:p>
    <w:p w14:paraId="000003A4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A5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21 - 0.02% Co</w:t>
      </w:r>
      <w:r>
        <w:rPr>
          <w:color w:val="000000"/>
          <w:sz w:val="22"/>
          <w:szCs w:val="22"/>
          <w:shd w:val="clear" w:color="auto" w:fill="D3D3D3"/>
        </w:rPr>
        <w:t>verage</w:t>
      </w:r>
    </w:p>
    <w:p w14:paraId="000003A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A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 Parent Engagement – involvement in prevention, safe parenting, and positive discipline.</w:t>
      </w:r>
    </w:p>
    <w:p w14:paraId="000003A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A9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22 - 0.03% Coverage</w:t>
      </w:r>
    </w:p>
    <w:p w14:paraId="000003A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AB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Data-driven advocacy: 100 Women’s Rights Organizations trained on data skills; 72,000 people reached online.</w:t>
      </w:r>
    </w:p>
    <w:p w14:paraId="000003AC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•</w:t>
      </w:r>
    </w:p>
    <w:p w14:paraId="000003AD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AE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23 - 0.02% Coverage</w:t>
      </w:r>
    </w:p>
    <w:p w14:paraId="000003AF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B0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Strengthen advocacy and communication for development in emergencies</w:t>
      </w:r>
    </w:p>
    <w:p w14:paraId="000003B1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B2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24 - 0.02% Coverage</w:t>
      </w:r>
    </w:p>
    <w:p w14:paraId="000003B3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B4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Partner with media for gender-responsive reporting and advocacy.</w:t>
      </w:r>
    </w:p>
    <w:p w14:paraId="000003B5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B6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25 - 0.03% Coverage</w:t>
      </w:r>
    </w:p>
    <w:p w14:paraId="000003B7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B8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Engage boys and young</w:t>
      </w:r>
      <w:r>
        <w:rPr>
          <w:color w:val="000000"/>
          <w:sz w:val="22"/>
          <w:szCs w:val="22"/>
        </w:rPr>
        <w:t xml:space="preserve"> men as champions against GBV and teenage pregnancy (I Care About Her campaign).</w:t>
      </w:r>
    </w:p>
    <w:p w14:paraId="000003B9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BA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26 - 0.02% Coverage</w:t>
      </w:r>
    </w:p>
    <w:p w14:paraId="000003BB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BC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Conduct gender mainstreaming and community dialogue forums.</w:t>
      </w:r>
    </w:p>
    <w:p w14:paraId="000003BD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BE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27 - 0.02% Coverage</w:t>
      </w:r>
    </w:p>
    <w:p w14:paraId="000003BF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C0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Conduct mentorship, policy review, and youth-led advocacy forums</w:t>
      </w:r>
    </w:p>
    <w:p w14:paraId="000003C1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2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  <w:r>
        <w:rPr>
          <w:color w:val="000000"/>
          <w:sz w:val="22"/>
          <w:szCs w:val="22"/>
          <w:shd w:val="clear" w:color="auto" w:fill="D3D3D3"/>
        </w:rPr>
        <w:t>Reference 28 - 0.02% Coverage</w:t>
      </w:r>
    </w:p>
    <w:p w14:paraId="000003C3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  <w:shd w:val="clear" w:color="auto" w:fill="D3D3D3"/>
        </w:rPr>
      </w:pPr>
    </w:p>
    <w:p w14:paraId="000003C4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-  Advocacy and community development</w:t>
      </w:r>
    </w:p>
    <w:p w14:paraId="000003C5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6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7" w14:textId="77777777" w:rsidR="005351F1" w:rsidRDefault="00187E9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</w:t>
      </w:r>
    </w:p>
    <w:p w14:paraId="000003C8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9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A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B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C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D" w14:textId="77777777" w:rsidR="005351F1" w:rsidRDefault="005351F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color w:val="000000"/>
          <w:sz w:val="22"/>
          <w:szCs w:val="22"/>
        </w:rPr>
      </w:pPr>
    </w:p>
    <w:p w14:paraId="000003CE" w14:textId="77777777" w:rsidR="005351F1" w:rsidRDefault="005351F1"/>
    <w:sectPr w:rsidR="005351F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03AE6A4-ECB0-4726-BB1B-7E4F96A184BB}"/>
    <w:embedBold r:id="rId2" w:fontKey="{E586A20A-6239-4E0B-934E-C0A41B82359C}"/>
    <w:embedItalic r:id="rId3" w:fontKey="{09A5F9DE-8685-4424-874C-4A4B4E0021D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E3B07C8B-CE66-452F-9685-BDF0FFEDA6E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  <w:embedRegular r:id="rId5" w:fontKey="{3F13665E-8762-4279-AEE9-794F6708CAF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B48E7"/>
    <w:multiLevelType w:val="multilevel"/>
    <w:tmpl w:val="122697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0DC5FD5"/>
    <w:multiLevelType w:val="multilevel"/>
    <w:tmpl w:val="85744B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1F1"/>
    <w:rsid w:val="00187E91"/>
    <w:rsid w:val="0053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7FD770-0E5D-4CB3-86CA-677848E9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" w:eastAsia="en-KE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1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1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1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A16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16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6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168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168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16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16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16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1682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8A1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8A1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1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16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16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168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16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168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1682"/>
    <w:rPr>
      <w:b/>
      <w:bCs/>
      <w:smallCaps/>
      <w:color w:val="2F5496" w:themeColor="accent1" w:themeShade="BF"/>
      <w:spacing w:val="5"/>
    </w:rPr>
  </w:style>
  <w:style w:type="paragraph" w:customStyle="1" w:styleId="Normal0">
    <w:name w:val="[Normal]"/>
    <w:qFormat/>
    <w:rsid w:val="008A1682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ascii="Arial" w:eastAsia="Arial" w:hAnsi="Arial" w:cs="Times New Roman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iXzugm0SrXZOCwbv5bhimY8mvg==">CgMxLjA4AHIhMUJzSHExZUNfaEpYWFI0cVVxcmxIT3VGTjM5MjluNE1m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5056</Words>
  <Characters>28822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Lucy Wakiaga</cp:lastModifiedBy>
  <cp:revision>2</cp:revision>
  <dcterms:created xsi:type="dcterms:W3CDTF">2026-07-01T15:25:00Z</dcterms:created>
  <dcterms:modified xsi:type="dcterms:W3CDTF">2026-07-01T15:25:00Z</dcterms:modified>
</cp:coreProperties>
</file>