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0000001" w14:textId="77777777" w:rsidR="00531FDA" w:rsidRDefault="002F2C6B">
      <w:pPr>
        <w:spacing w:before="240" w:after="240"/>
        <w:rPr>
          <w:rFonts w:ascii="Calibri" w:eastAsia="Calibri" w:hAnsi="Calibri" w:cs="Calibri"/>
          <w:b/>
          <w:bCs/>
          <w:sz w:val="34"/>
          <w:szCs w:val="34"/>
          <w:u w:val="single"/>
        </w:rPr>
      </w:pPr>
      <w:bookmarkStart w:id="0" w:name="_GoBack"/>
      <w:bookmarkEnd w:id="0"/>
      <w:r>
        <w:rPr>
          <w:rFonts w:ascii="Calibri" w:eastAsia="Calibri" w:hAnsi="Calibri" w:cs="Calibri"/>
          <w:b/>
          <w:bCs/>
          <w:sz w:val="34"/>
          <w:szCs w:val="34"/>
          <w:u w:val="single"/>
        </w:rPr>
        <w:t>(RQ1 A) KEY POLICY OR GUIDELINE NAME</w:t>
      </w:r>
    </w:p>
    <w:p w14:paraId="00000002" w14:textId="77777777" w:rsidR="00531FDA" w:rsidRDefault="002F2C6B">
      <w:pPr>
        <w:spacing w:before="240" w:after="240"/>
        <w:rPr>
          <w:rFonts w:ascii="Calibri" w:eastAsia="Calibri" w:hAnsi="Calibri" w:cs="Calibri"/>
          <w:b/>
          <w:bCs/>
          <w:sz w:val="22"/>
          <w:szCs w:val="22"/>
          <w:shd w:val="clear" w:color="auto" w:fill="9900FF"/>
        </w:rPr>
      </w:pPr>
      <w:r>
        <w:rPr>
          <w:rFonts w:ascii="Calibri" w:eastAsia="Calibri" w:hAnsi="Calibri" w:cs="Calibri"/>
          <w:b/>
          <w:bCs/>
          <w:sz w:val="22"/>
          <w:szCs w:val="22"/>
          <w:shd w:val="clear" w:color="auto" w:fill="9900FF"/>
        </w:rPr>
        <w:t>Description: Identify the previous and current SRBGV prevention policies and guidelines for use in Kenyan schools (Chronological/historical review since 1963 to date?</w:t>
      </w:r>
    </w:p>
    <w:p w14:paraId="00000003" w14:textId="77777777" w:rsidR="00531FDA" w:rsidRDefault="002F2C6B">
      <w:pPr>
        <w:rPr>
          <w:rFonts w:ascii="Calibri" w:eastAsia="Calibri" w:hAnsi="Calibri" w:cs="Calibri"/>
          <w:color w:val="000000"/>
          <w:sz w:val="22"/>
          <w:szCs w:val="22"/>
          <w:shd w:val="clear" w:color="auto" w:fill="D3D3D3"/>
        </w:rPr>
      </w:pPr>
      <w:r>
        <w:rPr>
          <w:rFonts w:ascii="Calibri" w:eastAsia="Calibri" w:hAnsi="Calibri" w:cs="Calibri"/>
          <w:b/>
          <w:bCs/>
          <w:color w:val="000000"/>
          <w:sz w:val="22"/>
          <w:szCs w:val="22"/>
          <w:shd w:val="clear" w:color="auto" w:fill="D3D3D3"/>
        </w:rPr>
        <w:t xml:space="preserve">Name: </w:t>
      </w:r>
      <w:r>
        <w:rPr>
          <w:rFonts w:ascii="Calibri" w:eastAsia="Calibri" w:hAnsi="Calibri" w:cs="Calibri"/>
          <w:color w:val="000000"/>
          <w:sz w:val="22"/>
          <w:szCs w:val="22"/>
          <w:shd w:val="clear" w:color="auto" w:fill="D3D3D3"/>
        </w:rPr>
        <w:t>(RQ1 A) KEY POLICY OR GUIDELINE NAME</w:t>
      </w:r>
    </w:p>
    <w:p w14:paraId="00000004" w14:textId="77777777" w:rsidR="00531FDA" w:rsidRDefault="00531FDA">
      <w:pPr>
        <w:rPr>
          <w:rFonts w:ascii="Calibri" w:eastAsia="Calibri" w:hAnsi="Calibri" w:cs="Calibri"/>
          <w:color w:val="000000"/>
          <w:sz w:val="22"/>
          <w:szCs w:val="22"/>
          <w:shd w:val="clear" w:color="auto" w:fill="D3D3D3"/>
        </w:rPr>
      </w:pPr>
    </w:p>
    <w:p w14:paraId="00000005" w14:textId="77777777" w:rsidR="00531FDA" w:rsidRDefault="002F2C6B">
      <w:pPr>
        <w:rPr>
          <w:rFonts w:ascii="Calibri" w:eastAsia="Calibri" w:hAnsi="Calibri" w:cs="Calibri"/>
          <w:color w:val="000000"/>
          <w:sz w:val="22"/>
          <w:szCs w:val="22"/>
          <w:shd w:val="clear" w:color="auto" w:fill="D3D3D3"/>
        </w:rPr>
      </w:pPr>
      <w:r>
        <w:rPr>
          <w:rFonts w:ascii="Quattrocento Sans" w:eastAsia="Quattrocento Sans" w:hAnsi="Quattrocento Sans" w:cs="Quattrocento Sans"/>
          <w:b/>
          <w:bCs/>
          <w:color w:val="000000"/>
          <w:sz w:val="20"/>
          <w:szCs w:val="20"/>
          <w:shd w:val="clear" w:color="auto" w:fill="D3D3D3"/>
        </w:rPr>
        <w:t xml:space="preserve">Description: </w:t>
      </w:r>
      <w:r>
        <w:rPr>
          <w:rFonts w:ascii="Calibri" w:eastAsia="Calibri" w:hAnsi="Calibri" w:cs="Calibri"/>
          <w:color w:val="000000"/>
          <w:sz w:val="22"/>
          <w:szCs w:val="22"/>
          <w:shd w:val="clear" w:color="auto" w:fill="D3D3D3"/>
        </w:rPr>
        <w:t>Identify the previous and current SRBGV prevention policies and guidelines for use in Kenyan schools (Chronological/historical review since 1963 to date?</w:t>
      </w:r>
    </w:p>
    <w:p w14:paraId="00000006" w14:textId="77777777" w:rsidR="00531FDA" w:rsidRDefault="00531FDA">
      <w:pPr>
        <w:rPr>
          <w:rFonts w:ascii="Calibri" w:eastAsia="Calibri" w:hAnsi="Calibri" w:cs="Calibri"/>
          <w:color w:val="000000"/>
          <w:sz w:val="22"/>
          <w:szCs w:val="22"/>
          <w:shd w:val="clear" w:color="auto" w:fill="D3D3D3"/>
        </w:rPr>
      </w:pPr>
    </w:p>
    <w:p w14:paraId="00000007" w14:textId="77777777" w:rsidR="00531FDA" w:rsidRDefault="002F2C6B">
      <w:pPr>
        <w:rPr>
          <w:rFonts w:ascii="Quattrocento Sans" w:eastAsia="Quattrocento Sans" w:hAnsi="Quattrocento Sans" w:cs="Quattrocento Sans"/>
          <w:sz w:val="20"/>
          <w:szCs w:val="20"/>
          <w:shd w:val="clear" w:color="auto" w:fill="D3D3D3"/>
        </w:rPr>
      </w:pPr>
      <w:r>
        <w:rPr>
          <w:rFonts w:ascii="Quattrocento Sans" w:eastAsia="Quattrocento Sans" w:hAnsi="Quattrocento Sans" w:cs="Quattrocento Sans"/>
          <w:sz w:val="20"/>
          <w:szCs w:val="20"/>
          <w:shd w:val="clear" w:color="auto" w:fill="D3D3D3"/>
        </w:rPr>
        <w:t xml:space="preserve">&lt;Files\\SRGBV Policy Review BEFORE CODING (2)&gt; - § 43 references </w:t>
      </w:r>
      <w:proofErr w:type="gramStart"/>
      <w:r>
        <w:rPr>
          <w:rFonts w:ascii="Quattrocento Sans" w:eastAsia="Quattrocento Sans" w:hAnsi="Quattrocento Sans" w:cs="Quattrocento Sans"/>
          <w:sz w:val="20"/>
          <w:szCs w:val="20"/>
          <w:shd w:val="clear" w:color="auto" w:fill="D3D3D3"/>
        </w:rPr>
        <w:t>coded  [</w:t>
      </w:r>
      <w:proofErr w:type="gramEnd"/>
      <w:r>
        <w:rPr>
          <w:rFonts w:ascii="Quattrocento Sans" w:eastAsia="Quattrocento Sans" w:hAnsi="Quattrocento Sans" w:cs="Quattrocento Sans"/>
          <w:sz w:val="20"/>
          <w:szCs w:val="20"/>
          <w:shd w:val="clear" w:color="auto" w:fill="D3D3D3"/>
        </w:rPr>
        <w:t>8.33% Coverage]</w:t>
      </w:r>
    </w:p>
    <w:p w14:paraId="00000008" w14:textId="77777777" w:rsidR="00531FDA" w:rsidRDefault="00531FDA">
      <w:pPr>
        <w:rPr>
          <w:rFonts w:ascii="Quattrocento Sans" w:eastAsia="Quattrocento Sans" w:hAnsi="Quattrocento Sans" w:cs="Quattrocento Sans"/>
          <w:sz w:val="20"/>
          <w:szCs w:val="20"/>
          <w:shd w:val="clear" w:color="auto" w:fill="D3D3D3"/>
        </w:rPr>
      </w:pPr>
    </w:p>
    <w:p w14:paraId="00000009"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1 - 0.19% Coverage</w:t>
      </w:r>
    </w:p>
    <w:p w14:paraId="0000000A"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0B" w14:textId="77777777" w:rsidR="00531FDA" w:rsidRDefault="002F2C6B">
      <w:pPr>
        <w:rPr>
          <w:sz w:val="20"/>
          <w:szCs w:val="20"/>
        </w:rPr>
      </w:pPr>
      <w:r>
        <w:rPr>
          <w:rFonts w:ascii="Quattrocento Sans" w:eastAsia="Quattrocento Sans" w:hAnsi="Quattrocento Sans" w:cs="Quattrocento Sans"/>
          <w:sz w:val="20"/>
          <w:szCs w:val="20"/>
        </w:rPr>
        <w:t xml:space="preserve">National policy for prevention and response to </w:t>
      </w:r>
      <w:proofErr w:type="gramStart"/>
      <w:r>
        <w:rPr>
          <w:rFonts w:ascii="Quattrocento Sans" w:eastAsia="Quattrocento Sans" w:hAnsi="Quattrocento Sans" w:cs="Quattrocento Sans"/>
          <w:sz w:val="20"/>
          <w:szCs w:val="20"/>
        </w:rPr>
        <w:t>gender based</w:t>
      </w:r>
      <w:proofErr w:type="gramEnd"/>
      <w:r>
        <w:rPr>
          <w:rFonts w:ascii="Quattrocento Sans" w:eastAsia="Quattrocento Sans" w:hAnsi="Quattrocento Sans" w:cs="Quattrocento Sans"/>
          <w:sz w:val="20"/>
          <w:szCs w:val="20"/>
        </w:rPr>
        <w:t xml:space="preserve"> violence </w:t>
      </w:r>
      <w:hyperlink r:id="rId4">
        <w:r>
          <w:rPr>
            <w:sz w:val="20"/>
            <w:szCs w:val="20"/>
          </w:rPr>
          <w:t>(</w:t>
        </w:r>
        <w:proofErr w:type="spellStart"/>
        <w:r>
          <w:rPr>
            <w:sz w:val="20"/>
            <w:szCs w:val="20"/>
          </w:rPr>
          <w:t>Abuya</w:t>
        </w:r>
        <w:proofErr w:type="spellEnd"/>
        <w:r>
          <w:rPr>
            <w:sz w:val="20"/>
            <w:szCs w:val="20"/>
          </w:rPr>
          <w:t xml:space="preserve"> et al., 2015)</w:t>
        </w:r>
      </w:hyperlink>
    </w:p>
    <w:p w14:paraId="0000000C" w14:textId="77777777" w:rsidR="00531FDA" w:rsidRDefault="00531FDA">
      <w:pPr>
        <w:rPr>
          <w:rFonts w:ascii="Quattrocento Sans" w:eastAsia="Quattrocento Sans" w:hAnsi="Quattrocento Sans" w:cs="Quattrocento Sans"/>
          <w:sz w:val="20"/>
          <w:szCs w:val="20"/>
        </w:rPr>
      </w:pPr>
    </w:p>
    <w:p w14:paraId="0000000D"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2 - 0.19% Coverage</w:t>
      </w:r>
    </w:p>
    <w:p w14:paraId="0000000E"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0F"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xml:space="preserve">National Prevention and Response Plan on </w:t>
      </w:r>
      <w:r>
        <w:rPr>
          <w:rFonts w:ascii="Quattrocento Sans" w:eastAsia="Quattrocento Sans" w:hAnsi="Quattrocento Sans" w:cs="Quattrocento Sans"/>
          <w:sz w:val="20"/>
          <w:szCs w:val="20"/>
        </w:rPr>
        <w:t>Violence Against Children (2019–2023)</w:t>
      </w:r>
    </w:p>
    <w:p w14:paraId="00000010" w14:textId="77777777" w:rsidR="00531FDA" w:rsidRDefault="00531FDA">
      <w:pPr>
        <w:rPr>
          <w:rFonts w:ascii="Quattrocento Sans" w:eastAsia="Quattrocento Sans" w:hAnsi="Quattrocento Sans" w:cs="Quattrocento Sans"/>
          <w:sz w:val="20"/>
          <w:szCs w:val="20"/>
        </w:rPr>
      </w:pPr>
    </w:p>
    <w:p w14:paraId="00000011"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3 - 0.19% Coverage</w:t>
      </w:r>
    </w:p>
    <w:p w14:paraId="00000012"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13"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National action plan / strategic plan</w:t>
      </w:r>
    </w:p>
    <w:p w14:paraId="00000014" w14:textId="77777777" w:rsidR="00531FDA" w:rsidRDefault="00531FDA">
      <w:pPr>
        <w:rPr>
          <w:rFonts w:ascii="Quattrocento Sans" w:eastAsia="Quattrocento Sans" w:hAnsi="Quattrocento Sans" w:cs="Quattrocento Sans"/>
          <w:sz w:val="20"/>
          <w:szCs w:val="20"/>
        </w:rPr>
      </w:pPr>
    </w:p>
    <w:p w14:paraId="00000015"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4 - 0.19% Coverage</w:t>
      </w:r>
    </w:p>
    <w:p w14:paraId="00000016"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17"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xml:space="preserve">Safety Standards Manual </w:t>
      </w:r>
      <w:proofErr w:type="gramStart"/>
      <w:r>
        <w:rPr>
          <w:rFonts w:ascii="Quattrocento Sans" w:eastAsia="Quattrocento Sans" w:hAnsi="Quattrocento Sans" w:cs="Quattrocento Sans"/>
          <w:sz w:val="20"/>
          <w:szCs w:val="20"/>
        </w:rPr>
        <w:t>For</w:t>
      </w:r>
      <w:proofErr w:type="gramEnd"/>
      <w:r>
        <w:rPr>
          <w:rFonts w:ascii="Quattrocento Sans" w:eastAsia="Quattrocento Sans" w:hAnsi="Quattrocento Sans" w:cs="Quattrocento Sans"/>
          <w:sz w:val="20"/>
          <w:szCs w:val="20"/>
        </w:rPr>
        <w:t xml:space="preserve"> Schools</w:t>
      </w:r>
    </w:p>
    <w:p w14:paraId="00000018" w14:textId="77777777" w:rsidR="00531FDA" w:rsidRDefault="00531FDA">
      <w:pPr>
        <w:rPr>
          <w:rFonts w:ascii="Quattrocento Sans" w:eastAsia="Quattrocento Sans" w:hAnsi="Quattrocento Sans" w:cs="Quattrocento Sans"/>
          <w:sz w:val="20"/>
          <w:szCs w:val="20"/>
        </w:rPr>
      </w:pPr>
    </w:p>
    <w:p w14:paraId="00000019"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5 - 0.19% Coverage</w:t>
      </w:r>
    </w:p>
    <w:p w14:paraId="0000001A"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1B"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CODE OF REGULATIONS FOR TEACHERS</w:t>
      </w:r>
    </w:p>
    <w:p w14:paraId="0000001C"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NO. 196 OF 2015 Re</w:t>
      </w:r>
      <w:r>
        <w:rPr>
          <w:rFonts w:ascii="Quattrocento Sans" w:eastAsia="Quattrocento Sans" w:hAnsi="Quattrocento Sans" w:cs="Quattrocento Sans"/>
          <w:sz w:val="20"/>
          <w:szCs w:val="20"/>
        </w:rPr>
        <w:t>vised</w:t>
      </w:r>
    </w:p>
    <w:p w14:paraId="0000001D" w14:textId="77777777" w:rsidR="00531FDA" w:rsidRDefault="00531FDA">
      <w:pPr>
        <w:rPr>
          <w:rFonts w:ascii="Quattrocento Sans" w:eastAsia="Quattrocento Sans" w:hAnsi="Quattrocento Sans" w:cs="Quattrocento Sans"/>
          <w:sz w:val="20"/>
          <w:szCs w:val="20"/>
        </w:rPr>
      </w:pPr>
    </w:p>
    <w:p w14:paraId="0000001E"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6 - 0.19% Coverage</w:t>
      </w:r>
    </w:p>
    <w:p w14:paraId="0000001F"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20"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Children's Act</w:t>
      </w:r>
    </w:p>
    <w:p w14:paraId="00000021" w14:textId="77777777" w:rsidR="00531FDA" w:rsidRDefault="00531FDA">
      <w:pPr>
        <w:rPr>
          <w:rFonts w:ascii="Quattrocento Sans" w:eastAsia="Quattrocento Sans" w:hAnsi="Quattrocento Sans" w:cs="Quattrocento Sans"/>
          <w:sz w:val="20"/>
          <w:szCs w:val="20"/>
        </w:rPr>
      </w:pPr>
    </w:p>
    <w:p w14:paraId="00000022"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7 - 0.19% Coverage</w:t>
      </w:r>
    </w:p>
    <w:p w14:paraId="00000023"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24"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National guidelines for school re-entry in early learning and basic education</w:t>
      </w:r>
    </w:p>
    <w:p w14:paraId="00000025" w14:textId="77777777" w:rsidR="00531FDA" w:rsidRDefault="00531FDA">
      <w:pPr>
        <w:rPr>
          <w:rFonts w:ascii="Quattrocento Sans" w:eastAsia="Quattrocento Sans" w:hAnsi="Quattrocento Sans" w:cs="Quattrocento Sans"/>
          <w:sz w:val="20"/>
          <w:szCs w:val="20"/>
        </w:rPr>
      </w:pPr>
    </w:p>
    <w:p w14:paraId="00000026"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8 - 0.19% Coverage</w:t>
      </w:r>
    </w:p>
    <w:p w14:paraId="00000027"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28"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Sexual Offences Act_No3 of2006 Revised Edition 2024</w:t>
      </w:r>
    </w:p>
    <w:p w14:paraId="00000029" w14:textId="77777777" w:rsidR="00531FDA" w:rsidRDefault="00531FDA">
      <w:pPr>
        <w:rPr>
          <w:rFonts w:ascii="Quattrocento Sans" w:eastAsia="Quattrocento Sans" w:hAnsi="Quattrocento Sans" w:cs="Quattrocento Sans"/>
          <w:sz w:val="20"/>
          <w:szCs w:val="20"/>
        </w:rPr>
      </w:pPr>
    </w:p>
    <w:p w14:paraId="0000002A"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9 - 0.19% Coverage</w:t>
      </w:r>
    </w:p>
    <w:p w14:paraId="0000002B"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2C"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Kenya’s Generation Equality Forum (GEF) Commitments Framework on Gender-Based Violence and FGM</w:t>
      </w:r>
    </w:p>
    <w:p w14:paraId="0000002D" w14:textId="77777777" w:rsidR="00531FDA" w:rsidRDefault="00531FDA">
      <w:pPr>
        <w:rPr>
          <w:rFonts w:ascii="Quattrocento Sans" w:eastAsia="Quattrocento Sans" w:hAnsi="Quattrocento Sans" w:cs="Quattrocento Sans"/>
          <w:sz w:val="20"/>
          <w:szCs w:val="20"/>
        </w:rPr>
      </w:pPr>
    </w:p>
    <w:p w14:paraId="0000002E"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10 - 0.19% Coverage</w:t>
      </w:r>
    </w:p>
    <w:p w14:paraId="0000002F"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30"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School-Related Gender-Based Violence (SRGBV) Global Discussion Paper</w:t>
      </w:r>
    </w:p>
    <w:p w14:paraId="00000031" w14:textId="77777777" w:rsidR="00531FDA" w:rsidRDefault="00531FDA">
      <w:pPr>
        <w:rPr>
          <w:rFonts w:ascii="Quattrocento Sans" w:eastAsia="Quattrocento Sans" w:hAnsi="Quattrocento Sans" w:cs="Quattrocento Sans"/>
          <w:sz w:val="20"/>
          <w:szCs w:val="20"/>
        </w:rPr>
      </w:pPr>
    </w:p>
    <w:p w14:paraId="00000032"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11 - 0.19% Coverage</w:t>
      </w:r>
    </w:p>
    <w:p w14:paraId="00000033"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34"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Kenya Violence Against Children Survey (VACS) 2019</w:t>
      </w:r>
    </w:p>
    <w:p w14:paraId="00000035" w14:textId="77777777" w:rsidR="00531FDA" w:rsidRDefault="00531FDA">
      <w:pPr>
        <w:rPr>
          <w:rFonts w:ascii="Quattrocento Sans" w:eastAsia="Quattrocento Sans" w:hAnsi="Quattrocento Sans" w:cs="Quattrocento Sans"/>
          <w:sz w:val="20"/>
          <w:szCs w:val="20"/>
        </w:rPr>
      </w:pPr>
    </w:p>
    <w:p w14:paraId="00000036"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12 - 0.19% Coverage</w:t>
      </w:r>
    </w:p>
    <w:p w14:paraId="00000037"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38"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Policy Brief on SRGBV in Kenya: Gaps and Recommendations</w:t>
      </w:r>
    </w:p>
    <w:p w14:paraId="00000039" w14:textId="77777777" w:rsidR="00531FDA" w:rsidRDefault="00531FDA">
      <w:pPr>
        <w:rPr>
          <w:rFonts w:ascii="Quattrocento Sans" w:eastAsia="Quattrocento Sans" w:hAnsi="Quattrocento Sans" w:cs="Quattrocento Sans"/>
          <w:sz w:val="20"/>
          <w:szCs w:val="20"/>
        </w:rPr>
      </w:pPr>
    </w:p>
    <w:p w14:paraId="0000003A"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13 - 0.19% Coverage</w:t>
      </w:r>
    </w:p>
    <w:p w14:paraId="0000003B"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3C"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Kenya SRGBV Fact Sheet (as an evidence‐based summary of school-related gender-based violence data)</w:t>
      </w:r>
    </w:p>
    <w:p w14:paraId="0000003D" w14:textId="77777777" w:rsidR="00531FDA" w:rsidRDefault="00531FDA">
      <w:pPr>
        <w:rPr>
          <w:rFonts w:ascii="Quattrocento Sans" w:eastAsia="Quattrocento Sans" w:hAnsi="Quattrocento Sans" w:cs="Quattrocento Sans"/>
          <w:sz w:val="20"/>
          <w:szCs w:val="20"/>
        </w:rPr>
      </w:pPr>
    </w:p>
    <w:p w14:paraId="0000003E"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14 - 0.19% Coverage</w:t>
      </w:r>
    </w:p>
    <w:p w14:paraId="0000003F"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40"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The brief doesn’t carry a separate policy name; it’s a Brookings primary‐school SRGBV study in Kenya, part of a cross-country</w:t>
      </w:r>
      <w:r>
        <w:rPr>
          <w:rFonts w:ascii="Quattrocento Sans" w:eastAsia="Quattrocento Sans" w:hAnsi="Quattrocento Sans" w:cs="Quattrocento Sans"/>
          <w:sz w:val="20"/>
          <w:szCs w:val="20"/>
        </w:rPr>
        <w:t xml:space="preserve"> series. (Sometimes referred to as “Primary Schools SRGBV Brief – Kenya”)</w:t>
      </w:r>
    </w:p>
    <w:p w14:paraId="00000041" w14:textId="77777777" w:rsidR="00531FDA" w:rsidRDefault="00531FDA">
      <w:pPr>
        <w:rPr>
          <w:rFonts w:ascii="Quattrocento Sans" w:eastAsia="Quattrocento Sans" w:hAnsi="Quattrocento Sans" w:cs="Quattrocento Sans"/>
          <w:sz w:val="20"/>
          <w:szCs w:val="20"/>
        </w:rPr>
      </w:pPr>
    </w:p>
    <w:p w14:paraId="00000042"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15 - 0.19% Coverage</w:t>
      </w:r>
    </w:p>
    <w:p w14:paraId="00000043"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44"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Together for Girls Stakeholder Report 2018 (“Strength in Numbers”) — not a policy or guideline itself but a report summarizing data, progress, priorit</w:t>
      </w:r>
      <w:r>
        <w:rPr>
          <w:rFonts w:ascii="Quattrocento Sans" w:eastAsia="Quattrocento Sans" w:hAnsi="Quattrocento Sans" w:cs="Quattrocento Sans"/>
          <w:sz w:val="20"/>
          <w:szCs w:val="20"/>
        </w:rPr>
        <w:t>ies, and partnership achievements.</w:t>
      </w:r>
    </w:p>
    <w:p w14:paraId="00000045" w14:textId="77777777" w:rsidR="00531FDA" w:rsidRDefault="00531FDA">
      <w:pPr>
        <w:rPr>
          <w:rFonts w:ascii="Quattrocento Sans" w:eastAsia="Quattrocento Sans" w:hAnsi="Quattrocento Sans" w:cs="Quattrocento Sans"/>
          <w:sz w:val="20"/>
          <w:szCs w:val="20"/>
        </w:rPr>
      </w:pPr>
    </w:p>
    <w:p w14:paraId="00000046"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16 - 0.19% Coverage</w:t>
      </w:r>
    </w:p>
    <w:p w14:paraId="00000047"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48"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Education and Training Sector Gender Policy</w:t>
      </w:r>
    </w:p>
    <w:p w14:paraId="00000049" w14:textId="77777777" w:rsidR="00531FDA" w:rsidRDefault="00531FDA">
      <w:pPr>
        <w:rPr>
          <w:rFonts w:ascii="Quattrocento Sans" w:eastAsia="Quattrocento Sans" w:hAnsi="Quattrocento Sans" w:cs="Quattrocento Sans"/>
          <w:sz w:val="20"/>
          <w:szCs w:val="20"/>
        </w:rPr>
      </w:pPr>
    </w:p>
    <w:p w14:paraId="0000004A"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17 - 0.19% Coverage</w:t>
      </w:r>
    </w:p>
    <w:p w14:paraId="0000004B"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4C"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UNICEF Kenya Country Programme 2014–2018 (as part of the UN Development Assistance Framework – UNDAF)</w:t>
      </w:r>
    </w:p>
    <w:p w14:paraId="0000004D" w14:textId="77777777" w:rsidR="00531FDA" w:rsidRDefault="00531FDA">
      <w:pPr>
        <w:rPr>
          <w:rFonts w:ascii="Quattrocento Sans" w:eastAsia="Quattrocento Sans" w:hAnsi="Quattrocento Sans" w:cs="Quattrocento Sans"/>
          <w:sz w:val="20"/>
          <w:szCs w:val="20"/>
        </w:rPr>
      </w:pPr>
    </w:p>
    <w:p w14:paraId="0000004E"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18 - 0.19% Coverage</w:t>
      </w:r>
    </w:p>
    <w:p w14:paraId="0000004F"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50"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Study on Child Abuse in Kenya – commissioned by the Kenya Conference of Catholic Bishops (KCCB)</w:t>
      </w:r>
    </w:p>
    <w:p w14:paraId="00000051" w14:textId="77777777" w:rsidR="00531FDA" w:rsidRDefault="00531FDA">
      <w:pPr>
        <w:rPr>
          <w:rFonts w:ascii="Quattrocento Sans" w:eastAsia="Quattrocento Sans" w:hAnsi="Quattrocento Sans" w:cs="Quattrocento Sans"/>
          <w:sz w:val="20"/>
          <w:szCs w:val="20"/>
        </w:rPr>
      </w:pPr>
    </w:p>
    <w:p w14:paraId="00000052"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19 - 0.19% Coverage</w:t>
      </w:r>
    </w:p>
    <w:p w14:paraId="00000053"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54"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“Keep Her Safe” Advocacy Strategy and the proposed Nairobi County GBV Control and Management Bill</w:t>
      </w:r>
    </w:p>
    <w:p w14:paraId="00000055" w14:textId="77777777" w:rsidR="00531FDA" w:rsidRDefault="00531FDA">
      <w:pPr>
        <w:rPr>
          <w:rFonts w:ascii="Quattrocento Sans" w:eastAsia="Quattrocento Sans" w:hAnsi="Quattrocento Sans" w:cs="Quattrocento Sans"/>
          <w:sz w:val="20"/>
          <w:szCs w:val="20"/>
        </w:rPr>
      </w:pPr>
    </w:p>
    <w:p w14:paraId="00000056"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20 - 0.19% Coverage</w:t>
      </w:r>
    </w:p>
    <w:p w14:paraId="00000057"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58"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National Guidelines for School Re-entry in Kenya (2020)</w:t>
      </w:r>
    </w:p>
    <w:p w14:paraId="00000059"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UNGEI/UNESCO Whole School Approach to Prevent SRGBV (2018)</w:t>
      </w:r>
    </w:p>
    <w:p w14:paraId="0000005A"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Connect with Respect Toolkit for Educators</w:t>
      </w:r>
    </w:p>
    <w:p w14:paraId="0000005B"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Safe to Learn Campaign</w:t>
      </w:r>
    </w:p>
    <w:p w14:paraId="0000005C" w14:textId="77777777" w:rsidR="00531FDA" w:rsidRDefault="00531FDA">
      <w:pPr>
        <w:rPr>
          <w:rFonts w:ascii="Quattrocento Sans" w:eastAsia="Quattrocento Sans" w:hAnsi="Quattrocento Sans" w:cs="Quattrocento Sans"/>
          <w:sz w:val="20"/>
          <w:szCs w:val="20"/>
        </w:rPr>
      </w:pPr>
    </w:p>
    <w:p w14:paraId="0000005D"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21 - 0.19% Coverage</w:t>
      </w:r>
    </w:p>
    <w:p w14:paraId="0000005E"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5F"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Let’s Girls Thrive (LGT) Program and Speak Up Boxes Initiative under Teach for Kenya</w:t>
      </w:r>
    </w:p>
    <w:p w14:paraId="00000060" w14:textId="77777777" w:rsidR="00531FDA" w:rsidRDefault="00531FDA">
      <w:pPr>
        <w:rPr>
          <w:rFonts w:ascii="Quattrocento Sans" w:eastAsia="Quattrocento Sans" w:hAnsi="Quattrocento Sans" w:cs="Quattrocento Sans"/>
          <w:sz w:val="20"/>
          <w:szCs w:val="20"/>
        </w:rPr>
      </w:pPr>
    </w:p>
    <w:p w14:paraId="00000061"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22 - 0.19% Coverage</w:t>
      </w:r>
    </w:p>
    <w:p w14:paraId="00000062"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63"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Let Girls Thrive (LGT) Project and Boys and Girls Safe Spaces Partnership Initiative</w:t>
      </w:r>
    </w:p>
    <w:p w14:paraId="00000064" w14:textId="77777777" w:rsidR="00531FDA" w:rsidRDefault="00531FDA">
      <w:pPr>
        <w:rPr>
          <w:rFonts w:ascii="Quattrocento Sans" w:eastAsia="Quattrocento Sans" w:hAnsi="Quattrocento Sans" w:cs="Quattrocento Sans"/>
          <w:sz w:val="20"/>
          <w:szCs w:val="20"/>
        </w:rPr>
      </w:pPr>
    </w:p>
    <w:p w14:paraId="00000065"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23 - 0.19% Coverage</w:t>
      </w:r>
    </w:p>
    <w:p w14:paraId="00000066"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67"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Let Girls Thrive (LGT)</w:t>
      </w:r>
      <w:r>
        <w:rPr>
          <w:rFonts w:ascii="Quattrocento Sans" w:eastAsia="Quattrocento Sans" w:hAnsi="Quattrocento Sans" w:cs="Quattrocento Sans"/>
          <w:sz w:val="20"/>
          <w:szCs w:val="20"/>
        </w:rPr>
        <w:t xml:space="preserve"> Project; aligns with the Convention on the Rights of the Child (CRC), CEDAW, and the Declaration on the Elimination of Violence Against Women (VAW)</w:t>
      </w:r>
    </w:p>
    <w:p w14:paraId="00000068" w14:textId="77777777" w:rsidR="00531FDA" w:rsidRDefault="00531FDA">
      <w:pPr>
        <w:rPr>
          <w:rFonts w:ascii="Quattrocento Sans" w:eastAsia="Quattrocento Sans" w:hAnsi="Quattrocento Sans" w:cs="Quattrocento Sans"/>
          <w:sz w:val="20"/>
          <w:szCs w:val="20"/>
        </w:rPr>
      </w:pPr>
    </w:p>
    <w:p w14:paraId="00000069"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lastRenderedPageBreak/>
        <w:t>Reference 24 - 0.19% Coverage</w:t>
      </w:r>
    </w:p>
    <w:p w14:paraId="0000006A"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6B"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Global Guidance on Addressing School-Related Gender-Based Violence (SRGBV)</w:t>
      </w:r>
    </w:p>
    <w:p w14:paraId="0000006C" w14:textId="77777777" w:rsidR="00531FDA" w:rsidRDefault="00531FDA">
      <w:pPr>
        <w:rPr>
          <w:rFonts w:ascii="Quattrocento Sans" w:eastAsia="Quattrocento Sans" w:hAnsi="Quattrocento Sans" w:cs="Quattrocento Sans"/>
          <w:sz w:val="20"/>
          <w:szCs w:val="20"/>
        </w:rPr>
      </w:pPr>
    </w:p>
    <w:p w14:paraId="0000006D"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25 - 0.19% Coverage</w:t>
      </w:r>
    </w:p>
    <w:p w14:paraId="0000006E"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6F"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Whole School Approach to Prevent and Respond to School-Related Gender-Based Violence (SRGBV) – Minimum Standards and Monitoring Framework</w:t>
      </w:r>
    </w:p>
    <w:p w14:paraId="00000070" w14:textId="77777777" w:rsidR="00531FDA" w:rsidRDefault="00531FDA">
      <w:pPr>
        <w:rPr>
          <w:rFonts w:ascii="Quattrocento Sans" w:eastAsia="Quattrocento Sans" w:hAnsi="Quattrocento Sans" w:cs="Quattrocento Sans"/>
          <w:sz w:val="20"/>
          <w:szCs w:val="20"/>
        </w:rPr>
      </w:pPr>
    </w:p>
    <w:p w14:paraId="00000071"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26 - 0.19% Coverage</w:t>
      </w:r>
    </w:p>
    <w:p w14:paraId="00000072"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73"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Focus areas include:</w:t>
      </w:r>
    </w:p>
    <w:p w14:paraId="00000074"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Break Free Program</w:t>
      </w:r>
    </w:p>
    <w:p w14:paraId="00000075"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xml:space="preserve">• </w:t>
      </w:r>
      <w:proofErr w:type="spellStart"/>
      <w:r>
        <w:rPr>
          <w:rFonts w:ascii="Quattrocento Sans" w:eastAsia="Quattrocento Sans" w:hAnsi="Quattrocento Sans" w:cs="Quattrocento Sans"/>
          <w:sz w:val="20"/>
          <w:szCs w:val="20"/>
        </w:rPr>
        <w:t>Tuseme</w:t>
      </w:r>
      <w:proofErr w:type="spellEnd"/>
      <w:r>
        <w:rPr>
          <w:rFonts w:ascii="Quattrocento Sans" w:eastAsia="Quattrocento Sans" w:hAnsi="Quattrocento Sans" w:cs="Quattrocento Sans"/>
          <w:sz w:val="20"/>
          <w:szCs w:val="20"/>
        </w:rPr>
        <w:t xml:space="preserve"> Dada Initiative</w:t>
      </w:r>
    </w:p>
    <w:p w14:paraId="00000076"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Safeguarding and Duty of Care Guidelines</w:t>
      </w:r>
    </w:p>
    <w:p w14:paraId="00000077"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Data-Driven Advocacy for Girls’ Education in Emergencies</w:t>
      </w:r>
    </w:p>
    <w:p w14:paraId="00000078"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STEM for Girls Program</w:t>
      </w:r>
    </w:p>
    <w:p w14:paraId="00000079" w14:textId="77777777" w:rsidR="00531FDA" w:rsidRDefault="00531FDA">
      <w:pPr>
        <w:rPr>
          <w:rFonts w:ascii="Quattrocento Sans" w:eastAsia="Quattrocento Sans" w:hAnsi="Quattrocento Sans" w:cs="Quattrocento Sans"/>
          <w:sz w:val="20"/>
          <w:szCs w:val="20"/>
        </w:rPr>
      </w:pPr>
    </w:p>
    <w:p w14:paraId="0000007A"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27 - 0.19% Coverage</w:t>
      </w:r>
    </w:p>
    <w:p w14:paraId="0000007B"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7C"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Focuses on adolescent SRH and HIV policies including: National Adolescent Sexual and Reproductive Health Policy (2015), Kenya AIDS Strategic Framework (2014/15–2018/19), and Kenya’s Fast-Track Plan to End HIV and AIDS among Adolescents and Young People (20</w:t>
      </w:r>
      <w:r>
        <w:rPr>
          <w:rFonts w:ascii="Quattrocento Sans" w:eastAsia="Quattrocento Sans" w:hAnsi="Quattrocento Sans" w:cs="Quattrocento Sans"/>
          <w:sz w:val="20"/>
          <w:szCs w:val="20"/>
        </w:rPr>
        <w:t>15).</w:t>
      </w:r>
    </w:p>
    <w:p w14:paraId="0000007D" w14:textId="77777777" w:rsidR="00531FDA" w:rsidRDefault="00531FDA">
      <w:pPr>
        <w:rPr>
          <w:rFonts w:ascii="Quattrocento Sans" w:eastAsia="Quattrocento Sans" w:hAnsi="Quattrocento Sans" w:cs="Quattrocento Sans"/>
          <w:sz w:val="20"/>
          <w:szCs w:val="20"/>
        </w:rPr>
      </w:pPr>
    </w:p>
    <w:p w14:paraId="0000007E"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28 - 0.19% Coverage</w:t>
      </w:r>
    </w:p>
    <w:p w14:paraId="0000007F"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80"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UNICEF’s Core Commitments for Children (</w:t>
      </w:r>
      <w:proofErr w:type="spellStart"/>
      <w:r>
        <w:rPr>
          <w:rFonts w:ascii="Quattrocento Sans" w:eastAsia="Quattrocento Sans" w:hAnsi="Quattrocento Sans" w:cs="Quattrocento Sans"/>
          <w:sz w:val="20"/>
          <w:szCs w:val="20"/>
        </w:rPr>
        <w:t>CCCs</w:t>
      </w:r>
      <w:proofErr w:type="spellEnd"/>
      <w:r>
        <w:rPr>
          <w:rFonts w:ascii="Quattrocento Sans" w:eastAsia="Quattrocento Sans" w:hAnsi="Quattrocento Sans" w:cs="Quattrocento Sans"/>
          <w:sz w:val="20"/>
          <w:szCs w:val="20"/>
        </w:rPr>
        <w:t>) in Humanitarian Action</w:t>
      </w:r>
    </w:p>
    <w:p w14:paraId="00000081" w14:textId="77777777" w:rsidR="00531FDA" w:rsidRDefault="00531FDA">
      <w:pPr>
        <w:rPr>
          <w:rFonts w:ascii="Quattrocento Sans" w:eastAsia="Quattrocento Sans" w:hAnsi="Quattrocento Sans" w:cs="Quattrocento Sans"/>
          <w:sz w:val="20"/>
          <w:szCs w:val="20"/>
        </w:rPr>
      </w:pPr>
    </w:p>
    <w:p w14:paraId="00000082"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29 - 0.19% Coverage</w:t>
      </w:r>
    </w:p>
    <w:p w14:paraId="00000083"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84"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xml:space="preserve">Focuses on several FAWE Kenya programmes aligned to national and global policies: </w:t>
      </w:r>
      <w:proofErr w:type="spellStart"/>
      <w:r>
        <w:rPr>
          <w:rFonts w:ascii="Quattrocento Sans" w:eastAsia="Quattrocento Sans" w:hAnsi="Quattrocento Sans" w:cs="Quattrocento Sans"/>
          <w:sz w:val="20"/>
          <w:szCs w:val="20"/>
        </w:rPr>
        <w:t>Imarisha</w:t>
      </w:r>
      <w:proofErr w:type="spellEnd"/>
      <w:r>
        <w:rPr>
          <w:rFonts w:ascii="Quattrocento Sans" w:eastAsia="Quattrocento Sans" w:hAnsi="Quattrocento Sans" w:cs="Quattrocento Sans"/>
          <w:sz w:val="20"/>
          <w:szCs w:val="20"/>
        </w:rPr>
        <w:t xml:space="preserve"> </w:t>
      </w:r>
      <w:proofErr w:type="spellStart"/>
      <w:r>
        <w:rPr>
          <w:rFonts w:ascii="Quattrocento Sans" w:eastAsia="Quattrocento Sans" w:hAnsi="Quattrocento Sans" w:cs="Quattrocento Sans"/>
          <w:sz w:val="20"/>
          <w:szCs w:val="20"/>
        </w:rPr>
        <w:t>Msichana</w:t>
      </w:r>
      <w:proofErr w:type="spellEnd"/>
      <w:r>
        <w:rPr>
          <w:rFonts w:ascii="Quattrocento Sans" w:eastAsia="Quattrocento Sans" w:hAnsi="Quattrocento Sans" w:cs="Quattrocento Sans"/>
          <w:sz w:val="20"/>
          <w:szCs w:val="20"/>
        </w:rPr>
        <w:t xml:space="preserve">, </w:t>
      </w:r>
      <w:proofErr w:type="spellStart"/>
      <w:r>
        <w:rPr>
          <w:rFonts w:ascii="Quattrocento Sans" w:eastAsia="Quattrocento Sans" w:hAnsi="Quattrocento Sans" w:cs="Quattrocento Sans"/>
          <w:sz w:val="20"/>
          <w:szCs w:val="20"/>
        </w:rPr>
        <w:t>Haki</w:t>
      </w:r>
      <w:proofErr w:type="spellEnd"/>
      <w:r>
        <w:rPr>
          <w:rFonts w:ascii="Quattrocento Sans" w:eastAsia="Quattrocento Sans" w:hAnsi="Quattrocento Sans" w:cs="Quattrocento Sans"/>
          <w:sz w:val="20"/>
          <w:szCs w:val="20"/>
        </w:rPr>
        <w:t xml:space="preserve"> </w:t>
      </w:r>
      <w:proofErr w:type="spellStart"/>
      <w:r>
        <w:rPr>
          <w:rFonts w:ascii="Quattrocento Sans" w:eastAsia="Quattrocento Sans" w:hAnsi="Quattrocento Sans" w:cs="Quattrocento Sans"/>
          <w:sz w:val="20"/>
          <w:szCs w:val="20"/>
        </w:rPr>
        <w:t>Yangu</w:t>
      </w:r>
      <w:proofErr w:type="spellEnd"/>
      <w:r>
        <w:rPr>
          <w:rFonts w:ascii="Quattrocento Sans" w:eastAsia="Quattrocento Sans" w:hAnsi="Quattrocento Sans" w:cs="Quattrocento Sans"/>
          <w:sz w:val="20"/>
          <w:szCs w:val="20"/>
        </w:rPr>
        <w:t xml:space="preserve">, </w:t>
      </w:r>
      <w:proofErr w:type="spellStart"/>
      <w:r>
        <w:rPr>
          <w:rFonts w:ascii="Quattrocento Sans" w:eastAsia="Quattrocento Sans" w:hAnsi="Quattrocento Sans" w:cs="Quattrocento Sans"/>
          <w:sz w:val="20"/>
          <w:szCs w:val="20"/>
        </w:rPr>
        <w:t>Tamat</w:t>
      </w:r>
      <w:r>
        <w:rPr>
          <w:rFonts w:ascii="Quattrocento Sans" w:eastAsia="Quattrocento Sans" w:hAnsi="Quattrocento Sans" w:cs="Quattrocento Sans"/>
          <w:sz w:val="20"/>
          <w:szCs w:val="20"/>
        </w:rPr>
        <w:t>isha</w:t>
      </w:r>
      <w:proofErr w:type="spellEnd"/>
      <w:r>
        <w:rPr>
          <w:rFonts w:ascii="Quattrocento Sans" w:eastAsia="Quattrocento Sans" w:hAnsi="Quattrocento Sans" w:cs="Quattrocento Sans"/>
          <w:sz w:val="20"/>
          <w:szCs w:val="20"/>
        </w:rPr>
        <w:t>, Break Free, and Make Way — all promoting gender equality, SRHR, and girls’ education in Kenya.</w:t>
      </w:r>
    </w:p>
    <w:p w14:paraId="00000085" w14:textId="77777777" w:rsidR="00531FDA" w:rsidRDefault="00531FDA">
      <w:pPr>
        <w:rPr>
          <w:rFonts w:ascii="Quattrocento Sans" w:eastAsia="Quattrocento Sans" w:hAnsi="Quattrocento Sans" w:cs="Quattrocento Sans"/>
          <w:sz w:val="20"/>
          <w:szCs w:val="20"/>
        </w:rPr>
      </w:pPr>
    </w:p>
    <w:p w14:paraId="00000086"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30 - 0.19% Coverage</w:t>
      </w:r>
    </w:p>
    <w:p w14:paraId="00000087"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88"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Kenya’s 12 Generation Equality Forum (GEF) Commitments on Gender-Based Violence (GBV) (2021–2026)</w:t>
      </w:r>
    </w:p>
    <w:p w14:paraId="00000089" w14:textId="77777777" w:rsidR="00531FDA" w:rsidRDefault="00531FDA">
      <w:pPr>
        <w:rPr>
          <w:rFonts w:ascii="Quattrocento Sans" w:eastAsia="Quattrocento Sans" w:hAnsi="Quattrocento Sans" w:cs="Quattrocento Sans"/>
          <w:sz w:val="20"/>
          <w:szCs w:val="20"/>
        </w:rPr>
      </w:pPr>
    </w:p>
    <w:p w14:paraId="0000008A"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31 - 0.19% Cov</w:t>
      </w:r>
      <w:r>
        <w:rPr>
          <w:rFonts w:ascii="Quattrocento Sans" w:eastAsia="Quattrocento Sans" w:hAnsi="Quattrocento Sans" w:cs="Quattrocento Sans"/>
          <w:color w:val="000000"/>
          <w:sz w:val="20"/>
          <w:szCs w:val="20"/>
          <w:shd w:val="clear" w:color="auto" w:fill="D3D3D3"/>
        </w:rPr>
        <w:t>erage</w:t>
      </w:r>
    </w:p>
    <w:p w14:paraId="0000008B"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8C"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xml:space="preserve">This is an education sector-wide document guided by 10 policies and laws governing the provision of education in Kenya. </w:t>
      </w:r>
      <w:proofErr w:type="gramStart"/>
      <w:r>
        <w:rPr>
          <w:rFonts w:ascii="Quattrocento Sans" w:eastAsia="Quattrocento Sans" w:hAnsi="Quattrocento Sans" w:cs="Quattrocento Sans"/>
          <w:sz w:val="20"/>
          <w:szCs w:val="20"/>
        </w:rPr>
        <w:t>Mentions :The</w:t>
      </w:r>
      <w:proofErr w:type="gramEnd"/>
      <w:r>
        <w:rPr>
          <w:rFonts w:ascii="Quattrocento Sans" w:eastAsia="Quattrocento Sans" w:hAnsi="Quattrocento Sans" w:cs="Quattrocento Sans"/>
          <w:sz w:val="20"/>
          <w:szCs w:val="20"/>
        </w:rPr>
        <w:t xml:space="preserve"> Children Act, 2022 , Basic Education Act of 2013, The Constitution of Kenya Articles 43, 53, 54, 55, 56, 57, and 59</w:t>
      </w:r>
      <w:r>
        <w:rPr>
          <w:rFonts w:ascii="Quattrocento Sans" w:eastAsia="Quattrocento Sans" w:hAnsi="Quattrocento Sans" w:cs="Quattrocento Sans"/>
          <w:sz w:val="20"/>
          <w:szCs w:val="20"/>
        </w:rPr>
        <w:t>.</w:t>
      </w:r>
    </w:p>
    <w:p w14:paraId="0000008D" w14:textId="77777777" w:rsidR="00531FDA" w:rsidRDefault="00531FDA">
      <w:pPr>
        <w:rPr>
          <w:rFonts w:ascii="Quattrocento Sans" w:eastAsia="Quattrocento Sans" w:hAnsi="Quattrocento Sans" w:cs="Quattrocento Sans"/>
          <w:sz w:val="20"/>
          <w:szCs w:val="20"/>
        </w:rPr>
      </w:pPr>
    </w:p>
    <w:p w14:paraId="0000008E"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32 - 0.19% Coverage</w:t>
      </w:r>
    </w:p>
    <w:p w14:paraId="0000008F"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90"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Mentions: UN Convention on the Rights of the Child (CRC), African Charter on the Rights and Welfare of the Child, and Kenyan Constitution providing for protection of children from all forms of harm, violence, or abuse. Als</w:t>
      </w:r>
      <w:r>
        <w:rPr>
          <w:rFonts w:ascii="Quattrocento Sans" w:eastAsia="Quattrocento Sans" w:hAnsi="Quattrocento Sans" w:cs="Quattrocento Sans"/>
          <w:sz w:val="20"/>
          <w:szCs w:val="20"/>
        </w:rPr>
        <w:t>o cited is the Children’s Act (2001) and the Sexual Offences Act (2006).</w:t>
      </w:r>
    </w:p>
    <w:p w14:paraId="00000091" w14:textId="77777777" w:rsidR="00531FDA" w:rsidRDefault="00531FDA">
      <w:pPr>
        <w:rPr>
          <w:rFonts w:ascii="Quattrocento Sans" w:eastAsia="Quattrocento Sans" w:hAnsi="Quattrocento Sans" w:cs="Quattrocento Sans"/>
          <w:sz w:val="20"/>
          <w:szCs w:val="20"/>
        </w:rPr>
      </w:pPr>
    </w:p>
    <w:p w14:paraId="00000092"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33 - 0.19% Coverage</w:t>
      </w:r>
    </w:p>
    <w:p w14:paraId="00000093"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94"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The project and report reference national and international frameworks influencing SRGBV:</w:t>
      </w:r>
    </w:p>
    <w:p w14:paraId="00000095"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Kenya: Sexual Offences Act (2006, reviewed 2011), FGM Act (2011), Teachers Service Commission Act (2012), and Basic Education Act (2012). Others policies in Ghana and Mozambique also mentioned.</w:t>
      </w:r>
    </w:p>
    <w:p w14:paraId="00000096" w14:textId="77777777" w:rsidR="00531FDA" w:rsidRDefault="00531FDA">
      <w:pPr>
        <w:rPr>
          <w:rFonts w:ascii="Quattrocento Sans" w:eastAsia="Quattrocento Sans" w:hAnsi="Quattrocento Sans" w:cs="Quattrocento Sans"/>
          <w:sz w:val="20"/>
          <w:szCs w:val="20"/>
        </w:rPr>
      </w:pPr>
    </w:p>
    <w:p w14:paraId="00000097"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34 - 0.19% Coverage</w:t>
      </w:r>
    </w:p>
    <w:p w14:paraId="00000098"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99"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lastRenderedPageBreak/>
        <w:t>References to:</w:t>
      </w:r>
    </w:p>
    <w:p w14:paraId="0000009A"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Sexual Offe</w:t>
      </w:r>
      <w:r>
        <w:rPr>
          <w:rFonts w:ascii="Quattrocento Sans" w:eastAsia="Quattrocento Sans" w:hAnsi="Quattrocento Sans" w:cs="Quattrocento Sans"/>
          <w:sz w:val="20"/>
          <w:szCs w:val="20"/>
        </w:rPr>
        <w:t>nces Act (2006)</w:t>
      </w:r>
    </w:p>
    <w:p w14:paraId="0000009B"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Safety Standards Manual for Schools (MOE, 2008)</w:t>
      </w:r>
    </w:p>
    <w:p w14:paraId="0000009C"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Gender Policy in Education (MOE, 2011)</w:t>
      </w:r>
    </w:p>
    <w:p w14:paraId="0000009D"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UN Convention on the Rights of the Child (Article 34)</w:t>
      </w:r>
    </w:p>
    <w:p w14:paraId="0000009E"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Ministry of Education (2010) What is Sexual Harassment?</w:t>
      </w:r>
    </w:p>
    <w:p w14:paraId="0000009F" w14:textId="77777777" w:rsidR="00531FDA" w:rsidRDefault="00531FDA">
      <w:pPr>
        <w:rPr>
          <w:rFonts w:ascii="Quattrocento Sans" w:eastAsia="Quattrocento Sans" w:hAnsi="Quattrocento Sans" w:cs="Quattrocento Sans"/>
          <w:sz w:val="20"/>
          <w:szCs w:val="20"/>
        </w:rPr>
      </w:pPr>
    </w:p>
    <w:p w14:paraId="000000A0"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35 - 0.19% Coverage</w:t>
      </w:r>
    </w:p>
    <w:p w14:paraId="000000A1"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A2"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The</w:t>
      </w:r>
      <w:r>
        <w:rPr>
          <w:rFonts w:ascii="Quattrocento Sans" w:eastAsia="Quattrocento Sans" w:hAnsi="Quattrocento Sans" w:cs="Quattrocento Sans"/>
          <w:sz w:val="20"/>
          <w:szCs w:val="20"/>
        </w:rPr>
        <w:t xml:space="preserve"> report references The World Health Organisation’s </w:t>
      </w:r>
    </w:p>
    <w:p w14:paraId="000000A3"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Global School Health Initiative of 2005</w:t>
      </w:r>
    </w:p>
    <w:p w14:paraId="000000A4" w14:textId="77777777" w:rsidR="00531FDA" w:rsidRDefault="00531FDA">
      <w:pPr>
        <w:rPr>
          <w:rFonts w:ascii="Quattrocento Sans" w:eastAsia="Quattrocento Sans" w:hAnsi="Quattrocento Sans" w:cs="Quattrocento Sans"/>
          <w:sz w:val="20"/>
          <w:szCs w:val="20"/>
        </w:rPr>
      </w:pPr>
    </w:p>
    <w:p w14:paraId="000000A5"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36 - 0.19% Coverage</w:t>
      </w:r>
    </w:p>
    <w:p w14:paraId="000000A6"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A7" w14:textId="77777777" w:rsidR="00531FDA" w:rsidRDefault="002F2C6B">
      <w:pPr>
        <w:rPr>
          <w:rFonts w:ascii="Quattrocento Sans" w:eastAsia="Quattrocento Sans" w:hAnsi="Quattrocento Sans" w:cs="Quattrocento Sans"/>
          <w:sz w:val="20"/>
          <w:szCs w:val="20"/>
        </w:rPr>
      </w:pPr>
      <w:proofErr w:type="spellStart"/>
      <w:r>
        <w:rPr>
          <w:rFonts w:ascii="Quattrocento Sans" w:eastAsia="Quattrocento Sans" w:hAnsi="Quattrocento Sans" w:cs="Quattrocento Sans"/>
          <w:sz w:val="20"/>
          <w:szCs w:val="20"/>
        </w:rPr>
        <w:t>UNGEI's</w:t>
      </w:r>
      <w:proofErr w:type="spellEnd"/>
      <w:r>
        <w:rPr>
          <w:rFonts w:ascii="Quattrocento Sans" w:eastAsia="Quattrocento Sans" w:hAnsi="Quattrocento Sans" w:cs="Quattrocento Sans"/>
          <w:sz w:val="20"/>
          <w:szCs w:val="20"/>
        </w:rPr>
        <w:t xml:space="preserve"> Whole-School Approach to Preventing School-Related</w:t>
      </w:r>
    </w:p>
    <w:p w14:paraId="000000A8"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Gender-Based Violence 2018.</w:t>
      </w:r>
    </w:p>
    <w:p w14:paraId="000000A9" w14:textId="77777777" w:rsidR="00531FDA" w:rsidRDefault="00531FDA">
      <w:pPr>
        <w:rPr>
          <w:rFonts w:ascii="Quattrocento Sans" w:eastAsia="Quattrocento Sans" w:hAnsi="Quattrocento Sans" w:cs="Quattrocento Sans"/>
          <w:sz w:val="20"/>
          <w:szCs w:val="20"/>
        </w:rPr>
      </w:pPr>
    </w:p>
    <w:p w14:paraId="000000AA"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37 - 0.19% Coverage</w:t>
      </w:r>
    </w:p>
    <w:p w14:paraId="000000AB"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AC"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xml:space="preserve">Highlights that Corporal punishment in schools remains pervasive across sub-Saharan Africa (SSA) </w:t>
      </w:r>
    </w:p>
    <w:p w14:paraId="000000AD"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xml:space="preserve">despite legal prohibitions. (This is enshrined in </w:t>
      </w:r>
      <w:proofErr w:type="gramStart"/>
      <w:r>
        <w:rPr>
          <w:rFonts w:ascii="Quattrocento Sans" w:eastAsia="Quattrocento Sans" w:hAnsi="Quattrocento Sans" w:cs="Quattrocento Sans"/>
          <w:sz w:val="20"/>
          <w:szCs w:val="20"/>
        </w:rPr>
        <w:t>The</w:t>
      </w:r>
      <w:proofErr w:type="gramEnd"/>
      <w:r>
        <w:rPr>
          <w:rFonts w:ascii="Quattrocento Sans" w:eastAsia="Quattrocento Sans" w:hAnsi="Quattrocento Sans" w:cs="Quattrocento Sans"/>
          <w:sz w:val="20"/>
          <w:szCs w:val="20"/>
        </w:rPr>
        <w:t xml:space="preserve"> children Act of 2022 in Kenya.</w:t>
      </w:r>
    </w:p>
    <w:p w14:paraId="000000AE" w14:textId="77777777" w:rsidR="00531FDA" w:rsidRDefault="00531FDA">
      <w:pPr>
        <w:rPr>
          <w:rFonts w:ascii="Quattrocento Sans" w:eastAsia="Quattrocento Sans" w:hAnsi="Quattrocento Sans" w:cs="Quattrocento Sans"/>
          <w:sz w:val="20"/>
          <w:szCs w:val="20"/>
        </w:rPr>
      </w:pPr>
    </w:p>
    <w:p w14:paraId="000000AF"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38 - 0.19% Coverage</w:t>
      </w:r>
    </w:p>
    <w:p w14:paraId="000000B0"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B1"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xml:space="preserve">References </w:t>
      </w:r>
      <w:proofErr w:type="gramStart"/>
      <w:r>
        <w:rPr>
          <w:rFonts w:ascii="Quattrocento Sans" w:eastAsia="Quattrocento Sans" w:hAnsi="Quattrocento Sans" w:cs="Quattrocento Sans"/>
          <w:sz w:val="20"/>
          <w:szCs w:val="20"/>
        </w:rPr>
        <w:t>to:-</w:t>
      </w:r>
      <w:proofErr w:type="gramEnd"/>
      <w:r>
        <w:rPr>
          <w:rFonts w:ascii="Quattrocento Sans" w:eastAsia="Quattrocento Sans" w:hAnsi="Quattrocento Sans" w:cs="Quattrocento Sans"/>
          <w:sz w:val="20"/>
          <w:szCs w:val="20"/>
        </w:rPr>
        <w:t xml:space="preserve">                                                                                                                                                                                                                                  - </w:t>
      </w:r>
      <w:proofErr w:type="spellStart"/>
      <w:r>
        <w:rPr>
          <w:rFonts w:ascii="Quattrocento Sans" w:eastAsia="Quattrocento Sans" w:hAnsi="Quattrocento Sans" w:cs="Quattrocento Sans"/>
          <w:sz w:val="20"/>
          <w:szCs w:val="20"/>
        </w:rPr>
        <w:t>APHRC's</w:t>
      </w:r>
      <w:proofErr w:type="spellEnd"/>
      <w:r>
        <w:rPr>
          <w:rFonts w:ascii="Quattrocento Sans" w:eastAsia="Quattrocento Sans" w:hAnsi="Quattrocento Sans" w:cs="Quattrocento Sans"/>
          <w:sz w:val="20"/>
          <w:szCs w:val="20"/>
        </w:rPr>
        <w:t xml:space="preserve"> Polic</w:t>
      </w:r>
      <w:r>
        <w:rPr>
          <w:rFonts w:ascii="Quattrocento Sans" w:eastAsia="Quattrocento Sans" w:hAnsi="Quattrocento Sans" w:cs="Quattrocento Sans"/>
          <w:sz w:val="20"/>
          <w:szCs w:val="20"/>
        </w:rPr>
        <w:t xml:space="preserve">y Brief: School-Related Gender-Based Violence (SRGBV) in Kenya — Gaps and Recommendations                                                      - </w:t>
      </w:r>
      <w:proofErr w:type="spellStart"/>
      <w:r>
        <w:rPr>
          <w:rFonts w:ascii="Quattrocento Sans" w:eastAsia="Quattrocento Sans" w:hAnsi="Quattrocento Sans" w:cs="Quattrocento Sans"/>
          <w:sz w:val="20"/>
          <w:szCs w:val="20"/>
        </w:rPr>
        <w:t>UNGEI's</w:t>
      </w:r>
      <w:proofErr w:type="spellEnd"/>
      <w:r>
        <w:rPr>
          <w:rFonts w:ascii="Quattrocento Sans" w:eastAsia="Quattrocento Sans" w:hAnsi="Quattrocento Sans" w:cs="Quattrocento Sans"/>
          <w:sz w:val="20"/>
          <w:szCs w:val="20"/>
        </w:rPr>
        <w:t xml:space="preserve"> Whole-School Approach to Preventing School-Related Gender-Based Violence 2018.</w:t>
      </w:r>
    </w:p>
    <w:p w14:paraId="000000B2" w14:textId="77777777" w:rsidR="00531FDA" w:rsidRDefault="00531FDA">
      <w:pPr>
        <w:rPr>
          <w:rFonts w:ascii="Quattrocento Sans" w:eastAsia="Quattrocento Sans" w:hAnsi="Quattrocento Sans" w:cs="Quattrocento Sans"/>
          <w:sz w:val="20"/>
          <w:szCs w:val="20"/>
        </w:rPr>
      </w:pPr>
    </w:p>
    <w:p w14:paraId="000000B3"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39 - 0.19% Co</w:t>
      </w:r>
      <w:r>
        <w:rPr>
          <w:rFonts w:ascii="Quattrocento Sans" w:eastAsia="Quattrocento Sans" w:hAnsi="Quattrocento Sans" w:cs="Quattrocento Sans"/>
          <w:color w:val="000000"/>
          <w:sz w:val="20"/>
          <w:szCs w:val="20"/>
          <w:shd w:val="clear" w:color="auto" w:fill="D3D3D3"/>
        </w:rPr>
        <w:t>verage</w:t>
      </w:r>
    </w:p>
    <w:p w14:paraId="000000B4"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B5"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Sexual Offences Act (Kenya, 2006) is specifically referenced as the national law intended to address sexual violence; the article also situates the study within international SRH/GBV frameworks (WHO definitions, International Conference on Populati</w:t>
      </w:r>
      <w:r>
        <w:rPr>
          <w:rFonts w:ascii="Quattrocento Sans" w:eastAsia="Quattrocento Sans" w:hAnsi="Quattrocento Sans" w:cs="Quattrocento Sans"/>
          <w:sz w:val="20"/>
          <w:szCs w:val="20"/>
        </w:rPr>
        <w:t>on and Development references).</w:t>
      </w:r>
    </w:p>
    <w:p w14:paraId="000000B6" w14:textId="77777777" w:rsidR="00531FDA" w:rsidRDefault="00531FDA">
      <w:pPr>
        <w:rPr>
          <w:rFonts w:ascii="Quattrocento Sans" w:eastAsia="Quattrocento Sans" w:hAnsi="Quattrocento Sans" w:cs="Quattrocento Sans"/>
          <w:sz w:val="20"/>
          <w:szCs w:val="20"/>
        </w:rPr>
      </w:pPr>
    </w:p>
    <w:p w14:paraId="000000B7"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40 - 0.19% Coverage</w:t>
      </w:r>
    </w:p>
    <w:p w14:paraId="000000B8"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B9"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Mentions: Teachers' Service Commission Act no.22 of 2012 and The Sexual Offences Act No.3 of 2006.</w:t>
      </w:r>
    </w:p>
    <w:p w14:paraId="000000BA" w14:textId="77777777" w:rsidR="00531FDA" w:rsidRDefault="00531FDA">
      <w:pPr>
        <w:rPr>
          <w:rFonts w:ascii="Quattrocento Sans" w:eastAsia="Quattrocento Sans" w:hAnsi="Quattrocento Sans" w:cs="Quattrocento Sans"/>
          <w:sz w:val="20"/>
          <w:szCs w:val="20"/>
        </w:rPr>
      </w:pPr>
    </w:p>
    <w:p w14:paraId="000000BB"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41 - 0.19% Coverage</w:t>
      </w:r>
    </w:p>
    <w:p w14:paraId="000000BC"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BD"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xml:space="preserve">Mentions: African Charter on the Rights and Welfare of the </w:t>
      </w:r>
      <w:proofErr w:type="spellStart"/>
      <w:proofErr w:type="gramStart"/>
      <w:r>
        <w:rPr>
          <w:rFonts w:ascii="Quattrocento Sans" w:eastAsia="Quattrocento Sans" w:hAnsi="Quattrocento Sans" w:cs="Quattrocento Sans"/>
          <w:sz w:val="20"/>
          <w:szCs w:val="20"/>
        </w:rPr>
        <w:t>Ch</w:t>
      </w:r>
      <w:r>
        <w:rPr>
          <w:rFonts w:ascii="Quattrocento Sans" w:eastAsia="Quattrocento Sans" w:hAnsi="Quattrocento Sans" w:cs="Quattrocento Sans"/>
          <w:sz w:val="20"/>
          <w:szCs w:val="20"/>
        </w:rPr>
        <w:t>ild,The</w:t>
      </w:r>
      <w:proofErr w:type="spellEnd"/>
      <w:proofErr w:type="gramEnd"/>
      <w:r>
        <w:rPr>
          <w:rFonts w:ascii="Quattrocento Sans" w:eastAsia="Quattrocento Sans" w:hAnsi="Quattrocento Sans" w:cs="Quattrocento Sans"/>
          <w:sz w:val="20"/>
          <w:szCs w:val="20"/>
        </w:rPr>
        <w:t xml:space="preserve"> National Constitution 2010, The Children Act No. 8 of 2001, The Sexual Offences Act No. 3 of 2006, National School Health Policy of 2009, Safety Standards Manual for Schools in Kenya (2008), The National Children Policy Kenya of 2010, National adol</w:t>
      </w:r>
      <w:r>
        <w:rPr>
          <w:rFonts w:ascii="Quattrocento Sans" w:eastAsia="Quattrocento Sans" w:hAnsi="Quattrocento Sans" w:cs="Quattrocento Sans"/>
          <w:sz w:val="20"/>
          <w:szCs w:val="20"/>
        </w:rPr>
        <w:t>escent sexual and reproductive health policy (2015) and The Victim Protection Act No. 17 of 2014.</w:t>
      </w:r>
    </w:p>
    <w:p w14:paraId="000000BE" w14:textId="77777777" w:rsidR="00531FDA" w:rsidRDefault="00531FDA">
      <w:pPr>
        <w:rPr>
          <w:rFonts w:ascii="Quattrocento Sans" w:eastAsia="Quattrocento Sans" w:hAnsi="Quattrocento Sans" w:cs="Quattrocento Sans"/>
          <w:sz w:val="20"/>
          <w:szCs w:val="20"/>
        </w:rPr>
      </w:pPr>
    </w:p>
    <w:p w14:paraId="000000BF"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42 - 0.19% Coverage</w:t>
      </w:r>
    </w:p>
    <w:p w14:paraId="000000C0"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C1"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xml:space="preserve">Mentions: The Children's Act of 2001, Sexual Offences Act </w:t>
      </w:r>
      <w:proofErr w:type="gramStart"/>
      <w:r>
        <w:rPr>
          <w:rFonts w:ascii="Quattrocento Sans" w:eastAsia="Quattrocento Sans" w:hAnsi="Quattrocento Sans" w:cs="Quattrocento Sans"/>
          <w:sz w:val="20"/>
          <w:szCs w:val="20"/>
        </w:rPr>
        <w:t>of  2006</w:t>
      </w:r>
      <w:proofErr w:type="gramEnd"/>
      <w:r>
        <w:rPr>
          <w:rFonts w:ascii="Quattrocento Sans" w:eastAsia="Quattrocento Sans" w:hAnsi="Quattrocento Sans" w:cs="Quattrocento Sans"/>
          <w:sz w:val="20"/>
          <w:szCs w:val="20"/>
        </w:rPr>
        <w:t>, African Charter on the Rights and Welfare of the Child, Co</w:t>
      </w:r>
      <w:r>
        <w:rPr>
          <w:rFonts w:ascii="Quattrocento Sans" w:eastAsia="Quattrocento Sans" w:hAnsi="Quattrocento Sans" w:cs="Quattrocento Sans"/>
          <w:sz w:val="20"/>
          <w:szCs w:val="20"/>
        </w:rPr>
        <w:t>nvention on the Rights of the Child (CRC) and The constitution of Kenya 2010.</w:t>
      </w:r>
    </w:p>
    <w:p w14:paraId="000000C2" w14:textId="77777777" w:rsidR="00531FDA" w:rsidRDefault="00531FDA">
      <w:pPr>
        <w:rPr>
          <w:rFonts w:ascii="Quattrocento Sans" w:eastAsia="Quattrocento Sans" w:hAnsi="Quattrocento Sans" w:cs="Quattrocento Sans"/>
          <w:sz w:val="20"/>
          <w:szCs w:val="20"/>
        </w:rPr>
      </w:pPr>
    </w:p>
    <w:p w14:paraId="000000C3" w14:textId="77777777" w:rsidR="00531FDA" w:rsidRDefault="002F2C6B">
      <w:pPr>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43 - 0.19% Coverage</w:t>
      </w:r>
    </w:p>
    <w:p w14:paraId="000000C4" w14:textId="77777777" w:rsidR="00531FDA" w:rsidRDefault="00531FDA">
      <w:pPr>
        <w:rPr>
          <w:rFonts w:ascii="Quattrocento Sans" w:eastAsia="Quattrocento Sans" w:hAnsi="Quattrocento Sans" w:cs="Quattrocento Sans"/>
          <w:color w:val="000000"/>
          <w:sz w:val="20"/>
          <w:szCs w:val="20"/>
          <w:shd w:val="clear" w:color="auto" w:fill="D3D3D3"/>
        </w:rPr>
      </w:pPr>
    </w:p>
    <w:p w14:paraId="000000C5" w14:textId="77777777" w:rsidR="00531FDA" w:rsidRDefault="002F2C6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Not Applicable</w:t>
      </w:r>
    </w:p>
    <w:p w14:paraId="000000C6" w14:textId="77777777" w:rsidR="00531FDA" w:rsidRDefault="00531FDA">
      <w:pPr>
        <w:rPr>
          <w:rFonts w:ascii="Quattrocento Sans" w:eastAsia="Quattrocento Sans" w:hAnsi="Quattrocento Sans" w:cs="Quattrocento Sans"/>
          <w:sz w:val="20"/>
          <w:szCs w:val="20"/>
        </w:rPr>
      </w:pPr>
    </w:p>
    <w:p w14:paraId="000000C7" w14:textId="77777777" w:rsidR="00531FDA" w:rsidRDefault="00531FDA">
      <w:pPr>
        <w:rPr>
          <w:rFonts w:ascii="Quattrocento Sans" w:eastAsia="Quattrocento Sans" w:hAnsi="Quattrocento Sans" w:cs="Quattrocento Sans"/>
          <w:sz w:val="20"/>
          <w:szCs w:val="20"/>
        </w:rPr>
      </w:pPr>
    </w:p>
    <w:sectPr w:rsidR="00531FD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56E9CA74-57D5-42BB-9B50-BC5281C2ACFF}"/>
  </w:font>
  <w:font w:name="Calibri">
    <w:altName w:val="Calibri"/>
    <w:panose1 w:val="020F0502020204030204"/>
    <w:charset w:val="00"/>
    <w:family w:val="swiss"/>
    <w:pitch w:val="variable"/>
    <w:sig w:usb0="E4002EFF" w:usb1="C200247B" w:usb2="00000009" w:usb3="00000000" w:csb0="000001FF" w:csb1="00000000"/>
    <w:embedRegular r:id="rId2" w:fontKey="{0F4C6188-CF2D-4B1E-A4B7-784D6B5D6B1A}"/>
    <w:embedBold r:id="rId3" w:fontKey="{5ADCEA9A-EDDD-4F14-AC69-C87B5E3EDBB3}"/>
  </w:font>
  <w:font w:name="Quattrocento Sans">
    <w:charset w:val="00"/>
    <w:family w:val="auto"/>
    <w:pitch w:val="default"/>
    <w:embedRegular r:id="rId4" w:fontKey="{7D4C1C33-8E2B-472E-BD4E-AB28DF0DD54C}"/>
    <w:embedBold r:id="rId5" w:fontKey="{1FB350DD-E0A5-4E81-A647-0550E950530B}"/>
  </w:font>
  <w:font w:name="Cambria">
    <w:panose1 w:val="02040503050406030204"/>
    <w:charset w:val="00"/>
    <w:family w:val="roman"/>
    <w:pitch w:val="variable"/>
    <w:sig w:usb0="E00006FF" w:usb1="420024FF" w:usb2="02000000" w:usb3="00000000" w:csb0="0000019F" w:csb1="00000000"/>
    <w:embedRegular r:id="rId6" w:fontKey="{9F75C61E-EB02-4528-BA4D-B4FFF17197C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FDA"/>
    <w:rsid w:val="002F2C6B"/>
    <w:rsid w:val="00531FDA"/>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7FD770-0E5D-4CB3-86CA-677848E94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KE" w:eastAsia="en-KE" w:bidi="ar-SA"/>
      </w:rPr>
    </w:rPrDefault>
    <w:pPrDefault>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zotero.org/google-docs/?g7zQX5"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1195</Words>
  <Characters>6812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Wakiaga</dc:creator>
  <cp:lastModifiedBy>Lucy Wakiaga</cp:lastModifiedBy>
  <cp:revision>2</cp:revision>
  <dcterms:created xsi:type="dcterms:W3CDTF">2026-07-01T15:23:00Z</dcterms:created>
  <dcterms:modified xsi:type="dcterms:W3CDTF">2026-07-01T15:23:00Z</dcterms:modified>
</cp:coreProperties>
</file>