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0000001"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32"/>
          <w:szCs w:val="32"/>
          <w:u w:val="single"/>
          <w:shd w:val="clear" w:color="auto" w:fill="D3D3D3"/>
        </w:rPr>
      </w:pPr>
      <w:bookmarkStart w:id="0" w:name="_GoBack"/>
      <w:bookmarkEnd w:id="0"/>
      <w:r>
        <w:rPr>
          <w:rFonts w:ascii="Calibri" w:eastAsia="Calibri" w:hAnsi="Calibri" w:cs="Calibri"/>
          <w:b/>
          <w:bCs/>
          <w:color w:val="000000"/>
          <w:sz w:val="32"/>
          <w:szCs w:val="32"/>
          <w:u w:val="single"/>
          <w:shd w:val="clear" w:color="auto" w:fill="D3D3D3"/>
        </w:rPr>
        <w:t>Name: (RQ1 B) WHY WAS IT CREATED OR CHANGED</w:t>
      </w:r>
    </w:p>
    <w:p w14:paraId="00000002"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03"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9900FF"/>
        </w:rPr>
      </w:pPr>
      <w:r>
        <w:rPr>
          <w:rFonts w:ascii="Quattrocento Sans" w:eastAsia="Quattrocento Sans" w:hAnsi="Quattrocento Sans" w:cs="Quattrocento Sans"/>
          <w:b/>
          <w:bCs/>
          <w:color w:val="000000"/>
          <w:sz w:val="20"/>
          <w:szCs w:val="20"/>
          <w:shd w:val="clear" w:color="auto" w:fill="9900FF"/>
        </w:rPr>
        <w:t xml:space="preserve">Description: </w:t>
      </w:r>
      <w:r>
        <w:rPr>
          <w:rFonts w:ascii="Calibri" w:eastAsia="Calibri" w:hAnsi="Calibri" w:cs="Calibri"/>
          <w:color w:val="000000"/>
          <w:sz w:val="22"/>
          <w:szCs w:val="22"/>
          <w:shd w:val="clear" w:color="auto" w:fill="9900FF"/>
        </w:rPr>
        <w:t>What might have informed changes of the policy and guidelines around the SRBGV in Kenya’s Schools over time?</w:t>
      </w:r>
    </w:p>
    <w:p w14:paraId="00000004"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9900FF"/>
        </w:rPr>
      </w:pPr>
    </w:p>
    <w:p w14:paraId="00000005" w14:textId="77777777" w:rsidR="0038112D" w:rsidRDefault="006C0696">
      <w:pPr>
        <w:numPr>
          <w:ilvl w:val="0"/>
          <w:numId w:val="2"/>
        </w:num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8"/>
          <w:szCs w:val="28"/>
          <w:highlight w:val="red"/>
        </w:rPr>
      </w:pPr>
      <w:r>
        <w:rPr>
          <w:rFonts w:ascii="Calibri" w:eastAsia="Calibri" w:hAnsi="Calibri" w:cs="Calibri"/>
          <w:sz w:val="28"/>
          <w:szCs w:val="28"/>
          <w:highlight w:val="red"/>
          <w:u w:val="single"/>
        </w:rPr>
        <w:t>POLICY, GOVERNANCE AND STRUCTURAL ENVIRONMENT</w:t>
      </w:r>
    </w:p>
    <w:p w14:paraId="00000006"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07"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rFonts w:ascii="Calibri" w:eastAsia="Calibri" w:hAnsi="Calibri" w:cs="Calibri"/>
          <w:b/>
          <w:bCs/>
          <w:color w:val="000000"/>
          <w:sz w:val="28"/>
          <w:szCs w:val="28"/>
          <w:highlight w:val="yellow"/>
        </w:rPr>
      </w:pPr>
      <w:r>
        <w:rPr>
          <w:rFonts w:ascii="Calibri" w:eastAsia="Calibri" w:hAnsi="Calibri" w:cs="Calibri"/>
          <w:b/>
          <w:bCs/>
          <w:color w:val="000000"/>
          <w:sz w:val="28"/>
          <w:szCs w:val="28"/>
          <w:highlight w:val="yellow"/>
        </w:rPr>
        <w:t>Theme 1:  Sectoral Coordination and Multi-Stakeholder Demands</w:t>
      </w:r>
    </w:p>
    <w:p w14:paraId="00000008"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09"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&lt;Files\\SRGBV Policy Review BEFORE CODING (2)&gt; - § 5 references coded [0.27% Coverage]</w:t>
      </w:r>
    </w:p>
    <w:p w14:paraId="0000000A"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00B"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1 - 0.07% Coverage</w:t>
      </w:r>
    </w:p>
    <w:p w14:paraId="0000000C"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00D"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xml:space="preserve">To provide a coordinated framework for effective prevention, response, and </w:t>
      </w:r>
      <w:r>
        <w:rPr>
          <w:rFonts w:ascii="Quattrocento Sans" w:eastAsia="Quattrocento Sans" w:hAnsi="Quattrocento Sans" w:cs="Quattrocento Sans"/>
          <w:color w:val="000000"/>
          <w:sz w:val="20"/>
          <w:szCs w:val="20"/>
        </w:rPr>
        <w:t>resource allocation.</w:t>
      </w:r>
    </w:p>
    <w:p w14:paraId="0000000E"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00F"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2 - 0.05% Coverage</w:t>
      </w:r>
    </w:p>
    <w:p w14:paraId="00000010"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011"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There was a need for a coordinated national framework to translate the survey findings and children’s perspectives into strategic actions across sectors (education, health, justice, child protection, etc.</w:t>
      </w:r>
    </w:p>
    <w:p w14:paraId="00000012"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013"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3 - 0.05% Coverage</w:t>
      </w:r>
    </w:p>
    <w:p w14:paraId="00000014"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015"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The NPRP ensures that ministries (like Education and TSC), county governments, civil society, and communities work together to prevent, detect, report, respond to, and rehabilitate cases of violence against children</w:t>
      </w:r>
    </w:p>
    <w:p w14:paraId="00000016"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017"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4 - 0.04% Coverage</w:t>
      </w:r>
    </w:p>
    <w:p w14:paraId="00000018"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019"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To mobilize partnerships and community engagement in child safeguarding within schools.</w:t>
      </w:r>
    </w:p>
    <w:p w14:paraId="0000001A"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01B"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5 - 0.06% Coverage</w:t>
      </w:r>
    </w:p>
    <w:p w14:paraId="0000001C"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01D"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To enhance coordination, accountability, financing, and innovation in GBV prevention and response.</w:t>
      </w:r>
    </w:p>
    <w:p w14:paraId="0000001E"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sz w:val="20"/>
          <w:szCs w:val="20"/>
        </w:rPr>
      </w:pPr>
    </w:p>
    <w:p w14:paraId="0000001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sz w:val="20"/>
          <w:szCs w:val="20"/>
        </w:rPr>
      </w:pPr>
    </w:p>
    <w:p w14:paraId="00000020"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8"/>
          <w:szCs w:val="28"/>
          <w:highlight w:val="yellow"/>
        </w:rPr>
      </w:pPr>
      <w:r>
        <w:rPr>
          <w:rFonts w:ascii="Quattrocento Sans" w:eastAsia="Quattrocento Sans" w:hAnsi="Quattrocento Sans" w:cs="Quattrocento Sans"/>
          <w:sz w:val="28"/>
          <w:szCs w:val="28"/>
          <w:highlight w:val="yellow"/>
        </w:rPr>
        <w:t>Th</w:t>
      </w:r>
      <w:r>
        <w:rPr>
          <w:rFonts w:ascii="Quattrocento Sans" w:eastAsia="Quattrocento Sans" w:hAnsi="Quattrocento Sans" w:cs="Quattrocento Sans"/>
          <w:sz w:val="28"/>
          <w:szCs w:val="28"/>
          <w:highlight w:val="yellow"/>
        </w:rPr>
        <w:t>eme 2</w:t>
      </w:r>
      <w:r>
        <w:rPr>
          <w:rFonts w:ascii="Calibri" w:eastAsia="Calibri" w:hAnsi="Calibri" w:cs="Calibri"/>
          <w:b/>
          <w:bCs/>
          <w:sz w:val="28"/>
          <w:szCs w:val="28"/>
          <w:highlight w:val="yellow"/>
        </w:rPr>
        <w:t xml:space="preserve">: </w:t>
      </w:r>
      <w:r>
        <w:rPr>
          <w:rFonts w:ascii="Calibri" w:eastAsia="Calibri" w:hAnsi="Calibri" w:cs="Calibri"/>
          <w:sz w:val="28"/>
          <w:szCs w:val="28"/>
          <w:highlight w:val="yellow"/>
        </w:rPr>
        <w:t>International, Regional &amp; Global Commitments (Normative Influence)</w:t>
      </w:r>
    </w:p>
    <w:p w14:paraId="00000021"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22"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&lt;Files\\SRGBV Policy Review BEFORE CODING (2)&gt; - § 6 references coded  [0.59% Coverage]</w:t>
      </w:r>
    </w:p>
    <w:p w14:paraId="00000023"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24"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1 - 0.04% Coverage</w:t>
      </w:r>
    </w:p>
    <w:p w14:paraId="00000025"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26"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fulfill constitutional and international obligations</w:t>
      </w:r>
    </w:p>
    <w:p w14:paraId="00000027"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28"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2 - 0.19% Coverage</w:t>
      </w:r>
    </w:p>
    <w:p w14:paraId="00000029"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2A"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To accelerate gender equality and elimination of GBV and FGM in line with the Beijing Declaration (1995), ICPD+25 Nairobi Summit commitments (2019), and the President’s 2019 pledge to end FGM by 2022. It also responds to incre</w:t>
      </w:r>
      <w:r>
        <w:rPr>
          <w:rFonts w:ascii="Calibri" w:eastAsia="Calibri" w:hAnsi="Calibri" w:cs="Calibri"/>
          <w:sz w:val="22"/>
          <w:szCs w:val="22"/>
        </w:rPr>
        <w:t>ased GBV cases during COVID-19 and the need for stronger accountability and coordination frameworks.</w:t>
      </w:r>
    </w:p>
    <w:p w14:paraId="0000002B"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2C"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3 - 0.06% Coverage</w:t>
      </w:r>
    </w:p>
    <w:p w14:paraId="0000002D"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2E"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It also sought to assess Kenya’s progress toward the SDGs and the INSPIRE global framework to end violence against children.</w:t>
      </w:r>
    </w:p>
    <w:p w14:paraId="0000002F"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30"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4 - 0.06% Coverage</w:t>
      </w:r>
    </w:p>
    <w:p w14:paraId="00000031"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32"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To align with Kenya’s and global commitments (CRC, CEDAW) to eliminate violence and discrimination against women and girls.</w:t>
      </w:r>
    </w:p>
    <w:p w14:paraId="00000033"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34"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5 - 0.19% Coverage</w:t>
      </w:r>
    </w:p>
    <w:p w14:paraId="00000035"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36"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xml:space="preserve">Developed in response to global recognition (by the Global Working </w:t>
      </w:r>
      <w:r>
        <w:rPr>
          <w:rFonts w:ascii="Calibri" w:eastAsia="Calibri" w:hAnsi="Calibri" w:cs="Calibri"/>
          <w:sz w:val="22"/>
          <w:szCs w:val="22"/>
        </w:rPr>
        <w:t>Group to End SRGBV) that schools needed practical, measurable standards and stronger gender-awareness mechanisms for preventing school violence and achieving SDG 4 (safe, inclusive, and gender-sensitive learning). The framework operationalizes earlier glob</w:t>
      </w:r>
      <w:r>
        <w:rPr>
          <w:rFonts w:ascii="Calibri" w:eastAsia="Calibri" w:hAnsi="Calibri" w:cs="Calibri"/>
          <w:sz w:val="22"/>
          <w:szCs w:val="22"/>
        </w:rPr>
        <w:t>al guidance (UNESCO &amp; UN Women 2016).</w:t>
      </w:r>
    </w:p>
    <w:p w14:paraId="00000037"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38"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6 - 0.05% Coverage</w:t>
      </w:r>
    </w:p>
    <w:p w14:paraId="00000039"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3A"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To monitor progress towards Kenya’s pledge to end GBV and FGM by 2026.</w:t>
      </w:r>
    </w:p>
    <w:p w14:paraId="0000003B"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sz w:val="22"/>
          <w:szCs w:val="22"/>
        </w:rPr>
      </w:pPr>
    </w:p>
    <w:p w14:paraId="0000003C"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sz w:val="28"/>
          <w:szCs w:val="28"/>
        </w:rPr>
      </w:pPr>
    </w:p>
    <w:p w14:paraId="0000003D"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sz w:val="28"/>
          <w:szCs w:val="28"/>
          <w:highlight w:val="yellow"/>
        </w:rPr>
      </w:pPr>
      <w:r>
        <w:rPr>
          <w:rFonts w:ascii="Quattrocento Sans" w:eastAsia="Quattrocento Sans" w:hAnsi="Quattrocento Sans" w:cs="Quattrocento Sans"/>
          <w:sz w:val="28"/>
          <w:szCs w:val="28"/>
          <w:highlight w:val="yellow"/>
        </w:rPr>
        <w:t>Theme 3</w:t>
      </w:r>
      <w:r>
        <w:rPr>
          <w:rFonts w:ascii="Quattrocento Sans" w:eastAsia="Quattrocento Sans" w:hAnsi="Quattrocento Sans" w:cs="Quattrocento Sans"/>
          <w:b/>
          <w:bCs/>
          <w:sz w:val="28"/>
          <w:szCs w:val="28"/>
          <w:highlight w:val="yellow"/>
        </w:rPr>
        <w:t xml:space="preserve">: </w:t>
      </w:r>
      <w:r>
        <w:rPr>
          <w:rFonts w:ascii="Quattrocento Sans" w:eastAsia="Quattrocento Sans" w:hAnsi="Quattrocento Sans" w:cs="Quattrocento Sans"/>
          <w:sz w:val="28"/>
          <w:szCs w:val="28"/>
          <w:highlight w:val="yellow"/>
        </w:rPr>
        <w:t>Implementation Gaps &amp; Weak Enforcement of Existing Policies (Policy–Practice Divide)</w:t>
      </w:r>
    </w:p>
    <w:p w14:paraId="0000003E"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sz w:val="20"/>
          <w:szCs w:val="20"/>
        </w:rPr>
      </w:pPr>
    </w:p>
    <w:p w14:paraId="0000003F"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&lt;Files\\SRGBV Policy Review BEFORE CODING (2)&gt; - § 6 references coded  [0.44% Coverage]</w:t>
      </w:r>
    </w:p>
    <w:p w14:paraId="00000040"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41"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1 - 0.07% Coverage</w:t>
      </w:r>
    </w:p>
    <w:p w14:paraId="00000042"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43"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To respond to persistent gender disparities and implementation gaps, especially in ASAL regions, urban informal settlements, and STEM p</w:t>
      </w:r>
      <w:r>
        <w:rPr>
          <w:rFonts w:ascii="Calibri" w:eastAsia="Calibri" w:hAnsi="Calibri" w:cs="Calibri"/>
          <w:sz w:val="22"/>
          <w:szCs w:val="22"/>
        </w:rPr>
        <w:t>articipation.</w:t>
      </w:r>
    </w:p>
    <w:p w14:paraId="00000044"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45"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2 - 0.07% Coverage</w:t>
      </w:r>
    </w:p>
    <w:p w14:paraId="00000046"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47"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To respond to persistent gender disparities and implementation gaps, especially in ASAL regions, urban informal settlements, and STEM participation.</w:t>
      </w:r>
    </w:p>
    <w:p w14:paraId="00000048"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49"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3 - 0.07% Coverage</w:t>
      </w:r>
    </w:p>
    <w:p w14:paraId="0000004A"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4B"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To fill the policy and acti</w:t>
      </w:r>
      <w:r>
        <w:rPr>
          <w:rFonts w:ascii="Calibri" w:eastAsia="Calibri" w:hAnsi="Calibri" w:cs="Calibri"/>
          <w:sz w:val="22"/>
          <w:szCs w:val="22"/>
        </w:rPr>
        <w:t>on gaps in enforcement of SGBV prevention measures.</w:t>
      </w:r>
    </w:p>
    <w:p w14:paraId="0000004C"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To advocate for the passage of the Nairobi County GBV Control and Management Bill.</w:t>
      </w:r>
    </w:p>
    <w:p w14:paraId="0000004D"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4E"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4 - 0.06% Coverage</w:t>
      </w:r>
    </w:p>
    <w:p w14:paraId="0000004F"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50"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To address exclusion of pregnant girls and teenage mothers from education systems desp</w:t>
      </w:r>
      <w:r>
        <w:rPr>
          <w:rFonts w:ascii="Calibri" w:eastAsia="Calibri" w:hAnsi="Calibri" w:cs="Calibri"/>
          <w:sz w:val="22"/>
          <w:szCs w:val="22"/>
        </w:rPr>
        <w:t>ite progressive policies.</w:t>
      </w:r>
    </w:p>
    <w:p w14:paraId="00000051"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52"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5 - 0.08% Coverage</w:t>
      </w:r>
    </w:p>
    <w:p w14:paraId="00000053"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54"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It sought to close the gap between policy and implementation by promoting accountability and community engagement.</w:t>
      </w:r>
    </w:p>
    <w:p w14:paraId="00000055"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56"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6 - 0.09% Coverage</w:t>
      </w:r>
    </w:p>
    <w:p w14:paraId="00000057"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58"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sz w:val="20"/>
          <w:szCs w:val="20"/>
        </w:rPr>
      </w:pPr>
      <w:r>
        <w:rPr>
          <w:rFonts w:ascii="Calibri" w:eastAsia="Calibri" w:hAnsi="Calibri" w:cs="Calibri"/>
          <w:sz w:val="22"/>
          <w:szCs w:val="22"/>
        </w:rPr>
        <w:t>UNICEF (2001) had warned that without action, student sexual harassment would spiral out of control in Kenyan secondary schools</w:t>
      </w:r>
      <w:r>
        <w:rPr>
          <w:rFonts w:ascii="Calibri" w:eastAsia="Calibri" w:hAnsi="Calibri" w:cs="Calibri"/>
          <w:b/>
          <w:bCs/>
          <w:sz w:val="22"/>
          <w:szCs w:val="22"/>
        </w:rPr>
        <w:t>.</w:t>
      </w:r>
    </w:p>
    <w:p w14:paraId="00000059"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5A"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8"/>
          <w:szCs w:val="28"/>
          <w:highlight w:val="yellow"/>
        </w:rPr>
      </w:pPr>
      <w:r>
        <w:rPr>
          <w:rFonts w:ascii="Calibri" w:eastAsia="Calibri" w:hAnsi="Calibri" w:cs="Calibri"/>
          <w:b/>
          <w:bCs/>
          <w:sz w:val="28"/>
          <w:szCs w:val="28"/>
          <w:highlight w:val="yellow"/>
        </w:rPr>
        <w:t xml:space="preserve">Theme 4: </w:t>
      </w:r>
      <w:r>
        <w:rPr>
          <w:rFonts w:ascii="Calibri" w:eastAsia="Calibri" w:hAnsi="Calibri" w:cs="Calibri"/>
          <w:sz w:val="28"/>
          <w:szCs w:val="28"/>
          <w:highlight w:val="yellow"/>
        </w:rPr>
        <w:t>Constitutional, Legal and Policy Alignment (Reform Driven by Governance Changes)</w:t>
      </w:r>
    </w:p>
    <w:p w14:paraId="0000005B"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5C"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&lt;Files\\SRGBV Policy Review BEFORE CODING (2)&gt; - § 8 references coded  [1.11% Coverage]</w:t>
      </w:r>
    </w:p>
    <w:p w14:paraId="0000005D"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5E"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1 - 0.19% Coverage</w:t>
      </w:r>
    </w:p>
    <w:p w14:paraId="0000005F"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60"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It was revised to align teacher management with the Constitution of Kenya 2010, the Teachers Service Commission Act 2012, and other updat</w:t>
      </w:r>
      <w:r>
        <w:rPr>
          <w:rFonts w:ascii="Calibri" w:eastAsia="Calibri" w:hAnsi="Calibri" w:cs="Calibri"/>
          <w:sz w:val="22"/>
          <w:szCs w:val="22"/>
        </w:rPr>
        <w:t>ed laws and policies, and to address emerging issues in the teaching profession such as teacher discipline, professional ethics, gender responsiveness, and accountability in service delivery.</w:t>
      </w:r>
    </w:p>
    <w:p w14:paraId="00000061"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62"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2 - 0.19% Coverage</w:t>
      </w:r>
    </w:p>
    <w:p w14:paraId="00000063"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64"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The Act was revised or updated to</w:t>
      </w:r>
      <w:r>
        <w:rPr>
          <w:rFonts w:ascii="Calibri" w:eastAsia="Calibri" w:hAnsi="Calibri" w:cs="Calibri"/>
          <w:sz w:val="22"/>
          <w:szCs w:val="22"/>
        </w:rPr>
        <w:t xml:space="preserve"> replace older legislation (notably the earlier Children Act versions such as the 2001 Act) to bring the law up to date with constitutional reforms (especially the Constitution of Kenya, 2010).</w:t>
      </w:r>
    </w:p>
    <w:p w14:paraId="00000065"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66"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3 - 0.19% Coverage</w:t>
      </w:r>
    </w:p>
    <w:p w14:paraId="00000067"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68"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xml:space="preserve">The Act has been revised, most </w:t>
      </w:r>
      <w:r>
        <w:rPr>
          <w:rFonts w:ascii="Calibri" w:eastAsia="Calibri" w:hAnsi="Calibri" w:cs="Calibri"/>
          <w:sz w:val="22"/>
          <w:szCs w:val="22"/>
        </w:rPr>
        <w:t>recently in 2024, to align with the 2010 Constitution, clarify ambiguities in definitions of offences and penalties, enhance protections for minors and vulnerable persons, and update procedural provisions for more effective administration of justice.</w:t>
      </w:r>
    </w:p>
    <w:p w14:paraId="00000069"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6A"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4 - 0.19% Coverage</w:t>
      </w:r>
    </w:p>
    <w:p w14:paraId="0000006B"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6C"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To accelerate gender equality and elimination of GBV and FGM in line with the Beijing Declaration (1995), ICPD+25 Nairobi Summit commitments (2019), and the President’s 2019 pledge to end FGM by 2022. It also responds to incre</w:t>
      </w:r>
      <w:r>
        <w:rPr>
          <w:rFonts w:ascii="Calibri" w:eastAsia="Calibri" w:hAnsi="Calibri" w:cs="Calibri"/>
          <w:sz w:val="22"/>
          <w:szCs w:val="22"/>
        </w:rPr>
        <w:t>ased GBV cases during COVID-19 and the need for stronger accountability and coordination frameworks.</w:t>
      </w:r>
    </w:p>
    <w:p w14:paraId="0000006D"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6E"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5 - 0.08% Coverage</w:t>
      </w:r>
    </w:p>
    <w:p w14:paraId="0000006F"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70"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To align the 2007 Gender Policy with new constitutional and policy frameworks (Constitution of Kenya 2010, Sessional Paper</w:t>
      </w:r>
      <w:r>
        <w:rPr>
          <w:rFonts w:ascii="Calibri" w:eastAsia="Calibri" w:hAnsi="Calibri" w:cs="Calibri"/>
          <w:sz w:val="22"/>
          <w:szCs w:val="22"/>
        </w:rPr>
        <w:t xml:space="preserve"> No. 14 of 2012, Basic Education Act 2013, NESP 2013–2018).</w:t>
      </w:r>
    </w:p>
    <w:p w14:paraId="00000071"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72"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6 - 0.08% Coverage</w:t>
      </w:r>
    </w:p>
    <w:p w14:paraId="00000073"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74"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To align the 2007 Gender Policy with new constitutional and policy frameworks (Constitution of Kenya 2010, Sessional Paper No. 14 of 2012, Basic Education Act 2013</w:t>
      </w:r>
      <w:r>
        <w:rPr>
          <w:rFonts w:ascii="Calibri" w:eastAsia="Calibri" w:hAnsi="Calibri" w:cs="Calibri"/>
          <w:sz w:val="22"/>
          <w:szCs w:val="22"/>
        </w:rPr>
        <w:t>, NESP 2013–2018).</w:t>
      </w:r>
    </w:p>
    <w:p w14:paraId="00000075"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76"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7 - 0.08% Coverage</w:t>
      </w:r>
    </w:p>
    <w:p w14:paraId="00000077"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78"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To align the 2007 Gender Policy with new constitutional and policy frameworks (Constitution of Kenya 2010, Sessional Paper No. 14 of 2012, Basic Education Act 2013, NESP 2013–2018).</w:t>
      </w:r>
    </w:p>
    <w:p w14:paraId="00000079"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p>
    <w:p w14:paraId="0000007A"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r>
        <w:rPr>
          <w:rFonts w:ascii="Calibri" w:eastAsia="Calibri" w:hAnsi="Calibri" w:cs="Calibri"/>
          <w:sz w:val="22"/>
          <w:szCs w:val="22"/>
          <w:shd w:val="clear" w:color="auto" w:fill="D3D3D3"/>
        </w:rPr>
        <w:t>Reference 8 - 0.08% Coverage</w:t>
      </w:r>
    </w:p>
    <w:p w14:paraId="0000007B"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shd w:val="clear" w:color="auto" w:fill="D3D3D3"/>
        </w:rPr>
      </w:pPr>
    </w:p>
    <w:p w14:paraId="0000007C" w14:textId="77777777" w:rsidR="0038112D" w:rsidRDefault="006C069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2"/>
          <w:szCs w:val="22"/>
        </w:rPr>
      </w:pPr>
      <w:r>
        <w:rPr>
          <w:rFonts w:ascii="Calibri" w:eastAsia="Calibri" w:hAnsi="Calibri" w:cs="Calibri"/>
          <w:sz w:val="22"/>
          <w:szCs w:val="22"/>
        </w:rPr>
        <w:t>- To align Kenya’s national GBV response with global frameworks such as the Generation Equality Forum and ICPD+25 commitments.</w:t>
      </w:r>
    </w:p>
    <w:p w14:paraId="0000007D" w14:textId="77777777" w:rsidR="0038112D" w:rsidRDefault="0038112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sz w:val="22"/>
          <w:szCs w:val="22"/>
        </w:rPr>
      </w:pPr>
    </w:p>
    <w:p w14:paraId="0000007E" w14:textId="77777777" w:rsidR="0038112D" w:rsidRDefault="006C0696">
      <w:pPr>
        <w:numPr>
          <w:ilvl w:val="0"/>
          <w:numId w:val="3"/>
        </w:num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sz w:val="28"/>
          <w:szCs w:val="28"/>
          <w:highlight w:val="red"/>
        </w:rPr>
      </w:pPr>
      <w:r>
        <w:rPr>
          <w:rFonts w:ascii="Calibri" w:eastAsia="Calibri" w:hAnsi="Calibri" w:cs="Calibri"/>
          <w:sz w:val="28"/>
          <w:szCs w:val="28"/>
          <w:highlight w:val="red"/>
        </w:rPr>
        <w:t>EVIDENCE, KNOWLEDGE AND RESPONSE GAPS</w:t>
      </w:r>
    </w:p>
    <w:p w14:paraId="0000007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080"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rFonts w:ascii="Calibri" w:eastAsia="Calibri" w:hAnsi="Calibri" w:cs="Calibri"/>
          <w:color w:val="000000"/>
          <w:sz w:val="28"/>
          <w:szCs w:val="28"/>
          <w:highlight w:val="yellow"/>
        </w:rPr>
      </w:pPr>
      <w:r>
        <w:rPr>
          <w:rFonts w:ascii="Calibri" w:eastAsia="Calibri" w:hAnsi="Calibri" w:cs="Calibri"/>
          <w:b/>
          <w:bCs/>
          <w:color w:val="000000"/>
          <w:sz w:val="28"/>
          <w:szCs w:val="28"/>
          <w:highlight w:val="yellow"/>
        </w:rPr>
        <w:t xml:space="preserve">Theme </w:t>
      </w:r>
      <w:r>
        <w:rPr>
          <w:rFonts w:ascii="Calibri" w:eastAsia="Calibri" w:hAnsi="Calibri" w:cs="Calibri"/>
          <w:b/>
          <w:bCs/>
          <w:sz w:val="28"/>
          <w:szCs w:val="28"/>
          <w:highlight w:val="yellow"/>
        </w:rPr>
        <w:t>1</w:t>
      </w:r>
      <w:r>
        <w:rPr>
          <w:rFonts w:ascii="Calibri" w:eastAsia="Calibri" w:hAnsi="Calibri" w:cs="Calibri"/>
          <w:b/>
          <w:bCs/>
          <w:color w:val="000000"/>
          <w:sz w:val="28"/>
          <w:szCs w:val="28"/>
          <w:highlight w:val="yellow"/>
        </w:rPr>
        <w:t xml:space="preserve">:  </w:t>
      </w:r>
      <w:r>
        <w:rPr>
          <w:rFonts w:ascii="Calibri" w:eastAsia="Calibri" w:hAnsi="Calibri" w:cs="Calibri"/>
          <w:color w:val="000000"/>
          <w:sz w:val="28"/>
          <w:szCs w:val="28"/>
          <w:highlight w:val="yellow"/>
        </w:rPr>
        <w:t>Research, M&amp; E and Evidence Gaps</w:t>
      </w:r>
    </w:p>
    <w:p w14:paraId="00000081"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82"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shd w:val="clear" w:color="auto" w:fill="D3D3D3"/>
        </w:rPr>
      </w:pPr>
      <w:r>
        <w:rPr>
          <w:rFonts w:ascii="Calibri" w:eastAsia="Calibri" w:hAnsi="Calibri" w:cs="Calibri"/>
          <w:b/>
          <w:bCs/>
          <w:color w:val="000000"/>
          <w:sz w:val="22"/>
          <w:szCs w:val="22"/>
          <w:shd w:val="clear" w:color="auto" w:fill="D3D3D3"/>
        </w:rPr>
        <w:t>&lt;Files\\SRGBV Policy Review BEFORE CODING (2)&gt; - § 22 references coded  [3.31% Coverage]</w:t>
      </w:r>
    </w:p>
    <w:p w14:paraId="00000083"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shd w:val="clear" w:color="auto" w:fill="D3D3D3"/>
        </w:rPr>
      </w:pPr>
    </w:p>
    <w:p w14:paraId="00000084"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1 - 0.04% Coverage</w:t>
      </w:r>
    </w:p>
    <w:p w14:paraId="00000085"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86"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There was a need for a coordinated national framework to translate the survey findings and children’s perspectives into strategic actions across sectors (education, health, justice, child protection, etc</w:t>
      </w:r>
    </w:p>
    <w:p w14:paraId="00000087"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88"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2 - 0.04% Coverage</w:t>
      </w:r>
    </w:p>
    <w:p w14:paraId="00000089"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8A"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Stresses the need for</w:t>
      </w:r>
      <w:r>
        <w:rPr>
          <w:rFonts w:ascii="Calibri" w:eastAsia="Calibri" w:hAnsi="Calibri" w:cs="Calibri"/>
          <w:color w:val="000000"/>
          <w:sz w:val="22"/>
          <w:szCs w:val="22"/>
        </w:rPr>
        <w:t xml:space="preserve"> continuous monitoring and evaluation, with schools required to use the manual as a benchmark for self-assessment.</w:t>
      </w:r>
    </w:p>
    <w:p w14:paraId="0000008B"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8C"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3 - 0.13% Coverage</w:t>
      </w:r>
    </w:p>
    <w:p w14:paraId="0000008D"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8E"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It aims to fill critical knowledge gaps, consolidate research (especially Leach et al., 2013), and support pol</w:t>
      </w:r>
      <w:r>
        <w:rPr>
          <w:rFonts w:ascii="Calibri" w:eastAsia="Calibri" w:hAnsi="Calibri" w:cs="Calibri"/>
          <w:color w:val="000000"/>
          <w:sz w:val="22"/>
          <w:szCs w:val="22"/>
        </w:rPr>
        <w:t>icy-makers, education planners, and partners to design gender-sensitive interventions that protect learners and promote equality in education</w:t>
      </w:r>
    </w:p>
    <w:p w14:paraId="0000008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90"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4 - 0.03% Coverage</w:t>
      </w:r>
    </w:p>
    <w:p w14:paraId="00000091"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92"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It emphasizes the need for multi-sectoral and evidence-based national strategies,</w:t>
      </w:r>
    </w:p>
    <w:p w14:paraId="00000093"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94"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5 - 0.19% Coverage</w:t>
      </w:r>
    </w:p>
    <w:p w14:paraId="00000095"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96"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2019 VACS was conducted to update findings from the 2010 survey, as previous data were nearly a decade old. It aimed to measure progress in implementation of the 2013–2018 national response plan and to inform the development of a new prevention and res</w:t>
      </w:r>
      <w:r>
        <w:rPr>
          <w:rFonts w:ascii="Calibri" w:eastAsia="Calibri" w:hAnsi="Calibri" w:cs="Calibri"/>
          <w:color w:val="000000"/>
          <w:sz w:val="22"/>
          <w:szCs w:val="22"/>
        </w:rPr>
        <w:t>ponse plan addressing emerging forms of violence. It also sought to assess Kenya’s progress toward the SDGs and the INSPIRE global framework to end violence against children.</w:t>
      </w:r>
    </w:p>
    <w:p w14:paraId="00000097"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98"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6 - 0.19% Coverage</w:t>
      </w:r>
    </w:p>
    <w:p w14:paraId="00000099"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9A"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Kenya VACS 2019 provides comprehensive nationa</w:t>
      </w:r>
      <w:r>
        <w:rPr>
          <w:rFonts w:ascii="Calibri" w:eastAsia="Calibri" w:hAnsi="Calibri" w:cs="Calibri"/>
          <w:color w:val="000000"/>
          <w:sz w:val="22"/>
          <w:szCs w:val="22"/>
        </w:rPr>
        <w:t xml:space="preserve">l data on violence prevalence, risk factors, and impacts. It serves as an empirical foundation for evidence-based planning and monitoring of Kenya’s commitments to end violence against children. The inclusion of INSPIRE indicators makes it highly relevant </w:t>
      </w:r>
      <w:r>
        <w:rPr>
          <w:rFonts w:ascii="Calibri" w:eastAsia="Calibri" w:hAnsi="Calibri" w:cs="Calibri"/>
          <w:color w:val="000000"/>
          <w:sz w:val="22"/>
          <w:szCs w:val="22"/>
        </w:rPr>
        <w:t>for both national and global reporting. Its use of comparative analysis (2010 vs. 2019) also enhances understanding of progress and emerging challenges.</w:t>
      </w:r>
    </w:p>
    <w:p w14:paraId="0000009B"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9C"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7 - 0.19% Coverage</w:t>
      </w:r>
    </w:p>
    <w:p w14:paraId="0000009D"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9E"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brief was developed in response to evidence showing persistent gende</w:t>
      </w:r>
      <w:r>
        <w:rPr>
          <w:rFonts w:ascii="Calibri" w:eastAsia="Calibri" w:hAnsi="Calibri" w:cs="Calibri"/>
          <w:color w:val="000000"/>
          <w:sz w:val="22"/>
          <w:szCs w:val="22"/>
        </w:rPr>
        <w:t>r-based violence in schools, inadequate institutional guidelines, and limited sensitization among teachers and students. It responds to findings from the APHRC &amp; Ministry of Education (2024) study showing that nearly half of schools lacked GBV guidelines a</w:t>
      </w:r>
      <w:r>
        <w:rPr>
          <w:rFonts w:ascii="Calibri" w:eastAsia="Calibri" w:hAnsi="Calibri" w:cs="Calibri"/>
          <w:color w:val="000000"/>
          <w:sz w:val="22"/>
          <w:szCs w:val="22"/>
        </w:rPr>
        <w:t>nd most school heads and teacher trainees were unaware of existing frameworks. It also addresses national and global data gaps on SRGBV and the need for actionable strategies aligned with Kenya’s child protection laws and education reforms.</w:t>
      </w:r>
    </w:p>
    <w:p w14:paraId="0000009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A0"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 xml:space="preserve">Reference 8 - </w:t>
      </w:r>
      <w:r>
        <w:rPr>
          <w:rFonts w:ascii="Calibri" w:eastAsia="Calibri" w:hAnsi="Calibri" w:cs="Calibri"/>
          <w:color w:val="000000"/>
          <w:sz w:val="22"/>
          <w:szCs w:val="22"/>
          <w:shd w:val="clear" w:color="auto" w:fill="D3D3D3"/>
        </w:rPr>
        <w:t>0.06% Coverage</w:t>
      </w:r>
    </w:p>
    <w:p w14:paraId="000000A1"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A2"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It offers a practical roadmap to strengthen gender mainstreaming in education through evidence-based guideline development, monitoring, and training.</w:t>
      </w:r>
    </w:p>
    <w:p w14:paraId="000000A3"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A4"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9 - 0.19% Coverage</w:t>
      </w:r>
    </w:p>
    <w:p w14:paraId="000000A5"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A6"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factsheet is based on a secondary analysis of the 2018</w:t>
      </w:r>
      <w:r>
        <w:rPr>
          <w:rFonts w:ascii="Calibri" w:eastAsia="Calibri" w:hAnsi="Calibri" w:cs="Calibri"/>
          <w:color w:val="000000"/>
          <w:sz w:val="22"/>
          <w:szCs w:val="22"/>
        </w:rPr>
        <w:t xml:space="preserve"> Kenya VACS data by Together for Girls / CDC / partners to highlight how much violence occurs in and around schools and to make that data more accessible in an infographic format</w:t>
      </w:r>
    </w:p>
    <w:p w14:paraId="000000A7"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A8"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10 - 0.19% Coverage</w:t>
      </w:r>
    </w:p>
    <w:p w14:paraId="000000A9"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AA"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Because there is a gap in research at the primary school level — many SRGBV studies focus on adolescents in secondary school. The author seeks to fill a diagnostic gap: prevalence, sources, student perspectives, and existing institutional responses for pri</w:t>
      </w:r>
      <w:r>
        <w:rPr>
          <w:rFonts w:ascii="Calibri" w:eastAsia="Calibri" w:hAnsi="Calibri" w:cs="Calibri"/>
          <w:color w:val="000000"/>
          <w:sz w:val="22"/>
          <w:szCs w:val="22"/>
        </w:rPr>
        <w:t>mary school settings in Kenya.</w:t>
      </w:r>
    </w:p>
    <w:p w14:paraId="000000AB"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AC"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11 - 0.19% Coverage</w:t>
      </w:r>
    </w:p>
    <w:p w14:paraId="000000AD"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AE"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study is valuable in filling a gap: data on SRGBV in younger pupils (grades 4-8) rather than just older adolescents. The inclusion of online/ social media harassment is a new insight, relevant in modern school environments. The variation across countie</w:t>
      </w:r>
      <w:r>
        <w:rPr>
          <w:rFonts w:ascii="Calibri" w:eastAsia="Calibri" w:hAnsi="Calibri" w:cs="Calibri"/>
          <w:color w:val="000000"/>
          <w:sz w:val="22"/>
          <w:szCs w:val="22"/>
        </w:rPr>
        <w:t>s (Kilifi, Kisii, Machakos, Narok) shows that interventions need to be context-specific.The strong gender difference (females more likely) reinforces need for gender-responsive interventions. Given that many students fear lodging complaints, the study high</w:t>
      </w:r>
      <w:r>
        <w:rPr>
          <w:rFonts w:ascii="Calibri" w:eastAsia="Calibri" w:hAnsi="Calibri" w:cs="Calibri"/>
          <w:color w:val="000000"/>
          <w:sz w:val="22"/>
          <w:szCs w:val="22"/>
        </w:rPr>
        <w:t>lights the need for safe, trusted, accessible reporting systems and protection for complainants.</w:t>
      </w:r>
    </w:p>
    <w:p w14:paraId="000000A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B0"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12 - 0.19% Coverage</w:t>
      </w:r>
    </w:p>
    <w:p w14:paraId="000000B1"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B2"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Because there was a need for consolidated reporting across multiple countries (including Kenya) to showcase what had been done,</w:t>
      </w:r>
      <w:r>
        <w:rPr>
          <w:rFonts w:ascii="Calibri" w:eastAsia="Calibri" w:hAnsi="Calibri" w:cs="Calibri"/>
          <w:color w:val="000000"/>
          <w:sz w:val="22"/>
          <w:szCs w:val="22"/>
        </w:rPr>
        <w:t xml:space="preserve"> what progress had been made, what data had been gathered, and where gaps remain. It also serves as a tool for accountability to partners and donors to show how resources are being used.</w:t>
      </w:r>
    </w:p>
    <w:p w14:paraId="000000B3"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B4"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13 - 0.19% Coverage</w:t>
      </w:r>
    </w:p>
    <w:p w14:paraId="000000B5"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B6"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“Strength in Numbers” report is u</w:t>
      </w:r>
      <w:r>
        <w:rPr>
          <w:rFonts w:ascii="Calibri" w:eastAsia="Calibri" w:hAnsi="Calibri" w:cs="Calibri"/>
          <w:color w:val="000000"/>
          <w:sz w:val="22"/>
          <w:szCs w:val="22"/>
        </w:rPr>
        <w:t xml:space="preserve">seful as it gives both continental/global scale and country-level insights. For Kenya, the data on reductions in childhood sexual violence from 2010 to 2019 are powerful indicators of progress. But the report is more about showing progress and identifying </w:t>
      </w:r>
      <w:r>
        <w:rPr>
          <w:rFonts w:ascii="Calibri" w:eastAsia="Calibri" w:hAnsi="Calibri" w:cs="Calibri"/>
          <w:color w:val="000000"/>
          <w:sz w:val="22"/>
          <w:szCs w:val="22"/>
        </w:rPr>
        <w:t>priorities rather than detailing implementation case studies. For your desk review, it serves well as a source for “baseline and change over time” information.</w:t>
      </w:r>
    </w:p>
    <w:p w14:paraId="000000B7"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B8"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14 - 0.06% Coverage</w:t>
      </w:r>
    </w:p>
    <w:p w14:paraId="000000B9"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BA"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To share country examples and advocate for gender-responsive, </w:t>
      </w:r>
      <w:r>
        <w:rPr>
          <w:rFonts w:ascii="Calibri" w:eastAsia="Calibri" w:hAnsi="Calibri" w:cs="Calibri"/>
          <w:color w:val="000000"/>
          <w:sz w:val="22"/>
          <w:szCs w:val="22"/>
        </w:rPr>
        <w:t>inclusive education systems post-COVID-19.</w:t>
      </w:r>
    </w:p>
    <w:p w14:paraId="000000BB"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BC"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15 - 0.19% Coverage</w:t>
      </w:r>
    </w:p>
    <w:p w14:paraId="000000BD"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BE"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Created in response to widespread SRGBV affecting over 246 million children globally; to consolidate global knowledge, lessons, and best practices to inform policy and implementatio</w:t>
      </w:r>
      <w:r>
        <w:rPr>
          <w:rFonts w:ascii="Calibri" w:eastAsia="Calibri" w:hAnsi="Calibri" w:cs="Calibri"/>
          <w:color w:val="000000"/>
          <w:sz w:val="22"/>
          <w:szCs w:val="22"/>
        </w:rPr>
        <w:t>n; to help countries meet SDG targets related to safe, inclusive, and gender-equal education</w:t>
      </w:r>
    </w:p>
    <w:p w14:paraId="000000B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C0"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16 - 0.05% Coverage</w:t>
      </w:r>
    </w:p>
    <w:p w14:paraId="000000C1"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C2"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monitor progress towards Kenya’s pledge to end GBV and FGM by 2026.</w:t>
      </w:r>
    </w:p>
    <w:p w14:paraId="000000C3"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C4"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17 - 0.19% Coverage</w:t>
      </w:r>
    </w:p>
    <w:p w14:paraId="000000C5"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C6"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-To carry out periodic surveys on the rising and persistent cases of school violence</w:t>
      </w:r>
    </w:p>
    <w:p w14:paraId="000000C7"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C8"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18 - 0.19% Coverage</w:t>
      </w:r>
    </w:p>
    <w:p w14:paraId="000000C9"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CA"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This systematic review was conducted to address several gaps (evidence, alignment and impact) in the existing knowledge about school-based </w:t>
      </w:r>
      <w:r>
        <w:rPr>
          <w:rFonts w:ascii="Calibri" w:eastAsia="Calibri" w:hAnsi="Calibri" w:cs="Calibri"/>
          <w:color w:val="000000"/>
          <w:sz w:val="22"/>
          <w:szCs w:val="22"/>
        </w:rPr>
        <w:t>interventions for school related to SRGBV in Sub-Saharan Africa including Kenya.</w:t>
      </w:r>
    </w:p>
    <w:p w14:paraId="000000CB"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CC"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19 - 0.19% Coverage</w:t>
      </w:r>
    </w:p>
    <w:p w14:paraId="000000CD"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CE"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There is little research knowledge on how adolescents’ own beliefs and peer normative environments influence their vulnerability to teacher violence.</w:t>
      </w:r>
    </w:p>
    <w:p w14:paraId="000000C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D0"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20 - 0.19% Coverage</w:t>
      </w:r>
    </w:p>
    <w:p w14:paraId="000000D1"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D2"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There is little evidence on how teachers in the secondary school of the Vi</w:t>
      </w:r>
      <w:r>
        <w:rPr>
          <w:rFonts w:ascii="Calibri" w:eastAsia="Calibri" w:hAnsi="Calibri" w:cs="Calibri"/>
          <w:color w:val="000000"/>
          <w:sz w:val="22"/>
          <w:szCs w:val="22"/>
        </w:rPr>
        <w:t>higa</w:t>
      </w:r>
    </w:p>
    <w:p w14:paraId="000000D3"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County in Kenya have been trying to deal with and prevent SRGBV.</w:t>
      </w:r>
    </w:p>
    <w:p w14:paraId="000000D4"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D5"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21 - 0.19% Coverage</w:t>
      </w:r>
    </w:p>
    <w:p w14:paraId="000000D6"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D7"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This review revolutionises research as research efforts around SRGBV tend to focus </w:t>
      </w:r>
    </w:p>
    <w:p w14:paraId="000000D8"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on short-term, local level interventions with limited attention to policies and policy implementation </w:t>
      </w:r>
    </w:p>
    <w:p w14:paraId="000000D9"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processes. The most promising interventions are multi-layered and address the links between violence, identities, social and cultural norms and intersect</w:t>
      </w:r>
      <w:r>
        <w:rPr>
          <w:rFonts w:ascii="Calibri" w:eastAsia="Calibri" w:hAnsi="Calibri" w:cs="Calibri"/>
          <w:color w:val="000000"/>
          <w:sz w:val="22"/>
          <w:szCs w:val="22"/>
        </w:rPr>
        <w:t xml:space="preserve">ing structural inequalities. However, how to sustain and institutionalize work on gender and violence in schools and communities is less known. Most importantly, this review finds that a focus on resources and efforts are needed to build a robust evidence </w:t>
      </w:r>
      <w:r>
        <w:rPr>
          <w:rFonts w:ascii="Calibri" w:eastAsia="Calibri" w:hAnsi="Calibri" w:cs="Calibri"/>
          <w:color w:val="000000"/>
          <w:sz w:val="22"/>
          <w:szCs w:val="22"/>
        </w:rPr>
        <w:t>base that supports policy, practice, monitoring and evaluation at all levels.</w:t>
      </w:r>
    </w:p>
    <w:p w14:paraId="000000DA"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DB"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22 - 0.19% Coverage</w:t>
      </w:r>
    </w:p>
    <w:p w14:paraId="000000DC"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DD"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This research highlights the strengths and weakness of existing laws and policies around child sexual abuse in Kenya and puts forth suggestions </w:t>
      </w:r>
      <w:r>
        <w:rPr>
          <w:rFonts w:ascii="Calibri" w:eastAsia="Calibri" w:hAnsi="Calibri" w:cs="Calibri"/>
          <w:color w:val="000000"/>
          <w:sz w:val="22"/>
          <w:szCs w:val="22"/>
        </w:rPr>
        <w:t>for strengthening their enforcement and management of child sexual abuse cases in Kenya.</w:t>
      </w:r>
    </w:p>
    <w:p w14:paraId="000000DE"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0DF"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rFonts w:ascii="Calibri" w:eastAsia="Calibri" w:hAnsi="Calibri" w:cs="Calibri"/>
          <w:color w:val="000000"/>
          <w:sz w:val="28"/>
          <w:szCs w:val="28"/>
          <w:highlight w:val="yellow"/>
        </w:rPr>
      </w:pPr>
      <w:r>
        <w:rPr>
          <w:rFonts w:ascii="Calibri" w:eastAsia="Calibri" w:hAnsi="Calibri" w:cs="Calibri"/>
          <w:b/>
          <w:bCs/>
          <w:sz w:val="28"/>
          <w:szCs w:val="28"/>
          <w:highlight w:val="yellow"/>
        </w:rPr>
        <w:t>Theme 2</w:t>
      </w:r>
      <w:r>
        <w:rPr>
          <w:rFonts w:ascii="Calibri" w:eastAsia="Calibri" w:hAnsi="Calibri" w:cs="Calibri"/>
          <w:b/>
          <w:bCs/>
          <w:color w:val="000000"/>
          <w:sz w:val="28"/>
          <w:szCs w:val="28"/>
          <w:highlight w:val="yellow"/>
        </w:rPr>
        <w:t xml:space="preserve">: </w:t>
      </w:r>
      <w:r>
        <w:rPr>
          <w:rFonts w:ascii="Calibri" w:eastAsia="Calibri" w:hAnsi="Calibri" w:cs="Calibri"/>
          <w:color w:val="000000"/>
          <w:sz w:val="28"/>
          <w:szCs w:val="28"/>
          <w:highlight w:val="yellow"/>
        </w:rPr>
        <w:t>Lack of response, referral or education interventions</w:t>
      </w:r>
    </w:p>
    <w:p w14:paraId="000000E0"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E1"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3 references coded  [0.17% Coverage]</w:t>
      </w:r>
    </w:p>
    <w:p w14:paraId="000000E2"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E3"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1 - 0.07% Coverage</w:t>
      </w:r>
    </w:p>
    <w:p w14:paraId="000000E4"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E5"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provide a coordinated framework for effective prevention, response, and resource allocation.</w:t>
      </w:r>
    </w:p>
    <w:p w14:paraId="000000E6"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E7"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2 - 0.04% Coverage</w:t>
      </w:r>
    </w:p>
    <w:p w14:paraId="000000E8"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E9"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promote early reporting and intervention mechanisms for vulnerable children.</w:t>
      </w:r>
    </w:p>
    <w:p w14:paraId="000000EA"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EB"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3 - 0.06%</w:t>
      </w:r>
      <w:r>
        <w:rPr>
          <w:rFonts w:ascii="Calibri" w:eastAsia="Calibri" w:hAnsi="Calibri" w:cs="Calibri"/>
          <w:color w:val="000000"/>
          <w:sz w:val="22"/>
          <w:szCs w:val="22"/>
          <w:shd w:val="clear" w:color="auto" w:fill="D3D3D3"/>
        </w:rPr>
        <w:t xml:space="preserve"> Coverage</w:t>
      </w:r>
    </w:p>
    <w:p w14:paraId="000000EC"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ED"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integrate gender awareness, psychosocial support, and reporting mechanisms into school and community systems.</w:t>
      </w:r>
    </w:p>
    <w:p w14:paraId="000000EE"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rFonts w:ascii="Quattrocento Sans" w:eastAsia="Quattrocento Sans" w:hAnsi="Quattrocento Sans" w:cs="Quattrocento Sans"/>
          <w:color w:val="000000"/>
          <w:sz w:val="20"/>
          <w:szCs w:val="20"/>
        </w:rPr>
      </w:pPr>
    </w:p>
    <w:p w14:paraId="000000E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0F0" w14:textId="77777777" w:rsidR="0038112D" w:rsidRDefault="006C0696">
      <w:pPr>
        <w:numPr>
          <w:ilvl w:val="0"/>
          <w:numId w:val="1"/>
        </w:num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sz w:val="28"/>
          <w:szCs w:val="28"/>
          <w:highlight w:val="red"/>
        </w:rPr>
      </w:pPr>
      <w:r>
        <w:rPr>
          <w:rFonts w:ascii="Calibri" w:eastAsia="Calibri" w:hAnsi="Calibri" w:cs="Calibri"/>
          <w:b/>
          <w:bCs/>
          <w:sz w:val="28"/>
          <w:szCs w:val="28"/>
          <w:highlight w:val="red"/>
          <w:u w:val="single"/>
        </w:rPr>
        <w:t>CONTEXTUAL DYNAMICS</w:t>
      </w:r>
    </w:p>
    <w:p w14:paraId="000000F1"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b/>
          <w:bCs/>
          <w:color w:val="000000"/>
          <w:sz w:val="20"/>
          <w:szCs w:val="20"/>
        </w:rPr>
      </w:pPr>
    </w:p>
    <w:p w14:paraId="000000F2"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8"/>
          <w:szCs w:val="28"/>
          <w:highlight w:val="yellow"/>
        </w:rPr>
      </w:pPr>
      <w:r>
        <w:rPr>
          <w:rFonts w:ascii="Quattrocento Sans" w:eastAsia="Quattrocento Sans" w:hAnsi="Quattrocento Sans" w:cs="Quattrocento Sans"/>
          <w:b/>
          <w:bCs/>
          <w:color w:val="000000"/>
          <w:sz w:val="28"/>
          <w:szCs w:val="28"/>
          <w:highlight w:val="yellow"/>
        </w:rPr>
        <w:t xml:space="preserve">Theme </w:t>
      </w:r>
      <w:r>
        <w:rPr>
          <w:rFonts w:ascii="Quattrocento Sans" w:eastAsia="Quattrocento Sans" w:hAnsi="Quattrocento Sans" w:cs="Quattrocento Sans"/>
          <w:b/>
          <w:bCs/>
          <w:sz w:val="28"/>
          <w:szCs w:val="28"/>
          <w:highlight w:val="yellow"/>
        </w:rPr>
        <w:t>1</w:t>
      </w:r>
      <w:r>
        <w:rPr>
          <w:rFonts w:ascii="Quattrocento Sans" w:eastAsia="Quattrocento Sans" w:hAnsi="Quattrocento Sans" w:cs="Quattrocento Sans"/>
          <w:b/>
          <w:bCs/>
          <w:color w:val="000000"/>
          <w:sz w:val="28"/>
          <w:szCs w:val="28"/>
          <w:highlight w:val="yellow"/>
        </w:rPr>
        <w:t xml:space="preserve">: </w:t>
      </w:r>
      <w:r>
        <w:rPr>
          <w:rFonts w:ascii="Calibri" w:eastAsia="Calibri" w:hAnsi="Calibri" w:cs="Calibri"/>
          <w:b/>
          <w:bCs/>
          <w:color w:val="000000"/>
          <w:sz w:val="28"/>
          <w:szCs w:val="28"/>
          <w:highlight w:val="yellow"/>
        </w:rPr>
        <w:t xml:space="preserve"> </w:t>
      </w:r>
      <w:r>
        <w:rPr>
          <w:rFonts w:ascii="Calibri" w:eastAsia="Calibri" w:hAnsi="Calibri" w:cs="Calibri"/>
          <w:color w:val="000000"/>
          <w:sz w:val="28"/>
          <w:szCs w:val="28"/>
          <w:highlight w:val="yellow"/>
        </w:rPr>
        <w:t>High Prevalence of SRGBV and Child Abuse</w:t>
      </w:r>
    </w:p>
    <w:p w14:paraId="000000F3"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F4"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18 references coded  [1.93% Coverage]</w:t>
      </w:r>
    </w:p>
    <w:p w14:paraId="000000F5"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F6"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1 - 0.05% Coverage</w:t>
      </w:r>
    </w:p>
    <w:p w14:paraId="000000F7"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F8"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policy was developed to address the high prevalence of GBV in Kenya,</w:t>
      </w:r>
    </w:p>
    <w:p w14:paraId="000000F9"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FA"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2 - 0.04% Coverage</w:t>
      </w:r>
    </w:p>
    <w:p w14:paraId="000000FB"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FC"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2019 Violence Against Children Survey (VACS) revealed the high prevalence of physical, sexual, and emotional violence against children in Kenya, especially in schools, homes, and communities.</w:t>
      </w:r>
    </w:p>
    <w:p w14:paraId="000000FD"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FE"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3 - 0.06% Coverage</w:t>
      </w:r>
    </w:p>
    <w:p w14:paraId="000000F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00"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Children themselves, through </w:t>
      </w:r>
      <w:r>
        <w:rPr>
          <w:rFonts w:ascii="Calibri" w:eastAsia="Calibri" w:hAnsi="Calibri" w:cs="Calibri"/>
          <w:color w:val="000000"/>
          <w:sz w:val="22"/>
          <w:szCs w:val="22"/>
        </w:rPr>
        <w:t>consultations in 28 counties, highlighted the causes of violence (e.g., poor stress management by teachers, lack of discipline, poor academic performance, bullying, peer violence) and suggested preventive and response measures.</w:t>
      </w:r>
    </w:p>
    <w:p w14:paraId="00000101"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02"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4 - 0.19% Coverag</w:t>
      </w:r>
      <w:r>
        <w:rPr>
          <w:rFonts w:ascii="Calibri" w:eastAsia="Calibri" w:hAnsi="Calibri" w:cs="Calibri"/>
          <w:color w:val="000000"/>
          <w:sz w:val="22"/>
          <w:szCs w:val="22"/>
          <w:shd w:val="clear" w:color="auto" w:fill="D3D3D3"/>
        </w:rPr>
        <w:t>e</w:t>
      </w:r>
    </w:p>
    <w:p w14:paraId="00000103"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04"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It was developed in response to the high prevalence of violence against children in Kenya, as revealed by the 2010 and 2019 Violence Against Children Surveys, and to fulfill Kenya’s national, regional, and international obligations to protect children’s</w:t>
      </w:r>
      <w:r>
        <w:rPr>
          <w:rFonts w:ascii="Calibri" w:eastAsia="Calibri" w:hAnsi="Calibri" w:cs="Calibri"/>
          <w:color w:val="000000"/>
          <w:sz w:val="22"/>
          <w:szCs w:val="22"/>
        </w:rPr>
        <w:t xml:space="preserve"> rights and ensure their safety, development, and well-being.</w:t>
      </w:r>
    </w:p>
    <w:p w14:paraId="00000105"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06"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5 - 0.11% Coverage</w:t>
      </w:r>
    </w:p>
    <w:p w14:paraId="00000107"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08"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manual was developed in response to rising safety and security concerns in schools, including poor infrastructure, insecurity, child abuse, drug abuse, disasters, and health risks</w:t>
      </w:r>
    </w:p>
    <w:p w14:paraId="00000109"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0A"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6 - 0.07% Coverage</w:t>
      </w:r>
    </w:p>
    <w:p w14:paraId="0000010B"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0C"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Developed in response to growing global c</w:t>
      </w:r>
      <w:r>
        <w:rPr>
          <w:rFonts w:ascii="Calibri" w:eastAsia="Calibri" w:hAnsi="Calibri" w:cs="Calibri"/>
          <w:color w:val="000000"/>
          <w:sz w:val="22"/>
          <w:szCs w:val="22"/>
        </w:rPr>
        <w:t>oncern that schools, meant to be safe spaces, have become sites of gender-based violence.</w:t>
      </w:r>
    </w:p>
    <w:p w14:paraId="0000010D"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0E"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7 - 0.07% Coverage</w:t>
      </w:r>
    </w:p>
    <w:p w14:paraId="0000010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10"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brief was developed in response to evidence showing persistent gender-based violence in schools, inadequate institutional guideline</w:t>
      </w:r>
      <w:r>
        <w:rPr>
          <w:rFonts w:ascii="Calibri" w:eastAsia="Calibri" w:hAnsi="Calibri" w:cs="Calibri"/>
          <w:color w:val="000000"/>
          <w:sz w:val="22"/>
          <w:szCs w:val="22"/>
        </w:rPr>
        <w:t>s, and limited sensitization among teachers and students.</w:t>
      </w:r>
    </w:p>
    <w:p w14:paraId="00000111"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12"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8 - 0.19% Coverage</w:t>
      </w:r>
    </w:p>
    <w:p w14:paraId="00000113"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14"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factsheet is based on a secondary analysis of the 2018 Kenya VACS data by Together for Girls / CDC / partners to highlight how much violence occurs in and around s</w:t>
      </w:r>
      <w:r>
        <w:rPr>
          <w:rFonts w:ascii="Calibri" w:eastAsia="Calibri" w:hAnsi="Calibri" w:cs="Calibri"/>
          <w:color w:val="000000"/>
          <w:sz w:val="22"/>
          <w:szCs w:val="22"/>
        </w:rPr>
        <w:t>chools and to make that data more accessible in an infographic format.</w:t>
      </w:r>
    </w:p>
    <w:p w14:paraId="00000115"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16"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9 - 0.19% Coverage</w:t>
      </w:r>
    </w:p>
    <w:p w14:paraId="00000117"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18"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Because there is a gap in research at the primary school level — many SRGBV studies focus on adolescents in secondary school. The author seeks to fill a d</w:t>
      </w:r>
      <w:r>
        <w:rPr>
          <w:rFonts w:ascii="Calibri" w:eastAsia="Calibri" w:hAnsi="Calibri" w:cs="Calibri"/>
          <w:color w:val="000000"/>
          <w:sz w:val="22"/>
          <w:szCs w:val="22"/>
        </w:rPr>
        <w:t>iagnostic gap: prevalence, sources, student perspectives, and existing institutional responses for primary school settings in Kenya.</w:t>
      </w:r>
    </w:p>
    <w:p w14:paraId="00000119"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1A"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10 - 0.04% Coverage</w:t>
      </w:r>
    </w:p>
    <w:p w14:paraId="0000011B"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1C"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address widespread school-related SGBV that undermines girls’ education in Kenya.</w:t>
      </w:r>
    </w:p>
    <w:p w14:paraId="0000011D"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1E"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11 - 0.06% Coverage</w:t>
      </w:r>
    </w:p>
    <w:p w14:paraId="0000011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20"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respond to increasing cases of child neglect and abuse affecting learners in informal settlements (e.g., Dandora).</w:t>
      </w:r>
    </w:p>
    <w:p w14:paraId="00000121"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22"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12 - 0.06% Coverage</w:t>
      </w:r>
    </w:p>
    <w:p w14:paraId="00000123"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24"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respond to high prevalence of GBV and SRGBV revealed in national and</w:t>
      </w:r>
      <w:r>
        <w:rPr>
          <w:rFonts w:ascii="Calibri" w:eastAsia="Calibri" w:hAnsi="Calibri" w:cs="Calibri"/>
          <w:color w:val="000000"/>
          <w:sz w:val="22"/>
          <w:szCs w:val="22"/>
        </w:rPr>
        <w:t xml:space="preserve"> community surveys (KNBS, MOH 2022; VACS 2019).</w:t>
      </w:r>
    </w:p>
    <w:p w14:paraId="00000125"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26"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13 - 0.06% Coverage</w:t>
      </w:r>
    </w:p>
    <w:p w14:paraId="00000127"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28"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Created in response to widespread SRGBV affecting over 246 million children globally;</w:t>
      </w:r>
    </w:p>
    <w:p w14:paraId="00000129"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2A"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14 - 0.05% Coverage</w:t>
      </w:r>
    </w:p>
    <w:p w14:paraId="0000012B"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2C"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Address increased risks of dropout, GBV, and gender ineq</w:t>
      </w:r>
      <w:r>
        <w:rPr>
          <w:rFonts w:ascii="Calibri" w:eastAsia="Calibri" w:hAnsi="Calibri" w:cs="Calibri"/>
          <w:color w:val="000000"/>
          <w:sz w:val="22"/>
          <w:szCs w:val="22"/>
        </w:rPr>
        <w:t>uality exacerbated by COVID-19.</w:t>
      </w:r>
    </w:p>
    <w:p w14:paraId="0000012D"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2E"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15 - 0.19% Coverage</w:t>
      </w:r>
    </w:p>
    <w:p w14:paraId="0000012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30"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Despite legal provisions and efforts to reduce violence against children, particularly girls, violence and abuse are still widespread in homes, schools, and communities in Kenya; hence, the study sought to understand these persistent issues.</w:t>
      </w:r>
    </w:p>
    <w:p w14:paraId="00000131"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32"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 xml:space="preserve">Reference 16 </w:t>
      </w:r>
      <w:r>
        <w:rPr>
          <w:rFonts w:ascii="Calibri" w:eastAsia="Calibri" w:hAnsi="Calibri" w:cs="Calibri"/>
          <w:color w:val="000000"/>
          <w:sz w:val="22"/>
          <w:szCs w:val="22"/>
          <w:shd w:val="clear" w:color="auto" w:fill="D3D3D3"/>
        </w:rPr>
        <w:t>- 0.19% Coverage</w:t>
      </w:r>
    </w:p>
    <w:p w14:paraId="00000133"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34"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project was created to address widespread gender-based violence in and around schools, despite the presence of education and child protection policies. It sought to close the gap between policy and implementation by promoting accounta</w:t>
      </w:r>
      <w:r>
        <w:rPr>
          <w:rFonts w:ascii="Calibri" w:eastAsia="Calibri" w:hAnsi="Calibri" w:cs="Calibri"/>
          <w:color w:val="000000"/>
          <w:sz w:val="22"/>
          <w:szCs w:val="22"/>
        </w:rPr>
        <w:t>bility and community engagement.</w:t>
      </w:r>
    </w:p>
    <w:p w14:paraId="00000135"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36"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17 - 0.10% Coverage</w:t>
      </w:r>
    </w:p>
    <w:p w14:paraId="00000137"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38"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paper was motivated by the increasing incidents of sexual harassment in schools despite government measures such as the Sexual Offences Act (2006)</w:t>
      </w:r>
    </w:p>
    <w:p w14:paraId="00000139"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3A"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18 - 0.19% Coverage</w:t>
      </w:r>
    </w:p>
    <w:p w14:paraId="0000013B"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3C"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SHV rema</w:t>
      </w:r>
      <w:r>
        <w:rPr>
          <w:rFonts w:ascii="Calibri" w:eastAsia="Calibri" w:hAnsi="Calibri" w:cs="Calibri"/>
          <w:color w:val="000000"/>
          <w:sz w:val="22"/>
          <w:szCs w:val="22"/>
        </w:rPr>
        <w:t>ins prevalent despite existing laws (e.g., 31% of young women 15–24 reported sexual violence in 2003); authors sought to give voice to affected girls and inform policy because prevalence and impacts persisted.</w:t>
      </w:r>
    </w:p>
    <w:p w14:paraId="0000013D"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13E"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13F"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b/>
          <w:bCs/>
          <w:color w:val="000000"/>
          <w:sz w:val="28"/>
          <w:szCs w:val="28"/>
          <w:highlight w:val="yellow"/>
        </w:rPr>
      </w:pPr>
      <w:r>
        <w:rPr>
          <w:rFonts w:ascii="Quattrocento Sans" w:eastAsia="Quattrocento Sans" w:hAnsi="Quattrocento Sans" w:cs="Quattrocento Sans"/>
          <w:b/>
          <w:bCs/>
          <w:color w:val="000000"/>
          <w:sz w:val="28"/>
          <w:szCs w:val="28"/>
          <w:highlight w:val="yellow"/>
        </w:rPr>
        <w:t xml:space="preserve">Theme </w:t>
      </w:r>
      <w:r>
        <w:rPr>
          <w:rFonts w:ascii="Quattrocento Sans" w:eastAsia="Quattrocento Sans" w:hAnsi="Quattrocento Sans" w:cs="Quattrocento Sans"/>
          <w:b/>
          <w:bCs/>
          <w:sz w:val="28"/>
          <w:szCs w:val="28"/>
          <w:highlight w:val="yellow"/>
        </w:rPr>
        <w:t>2</w:t>
      </w:r>
      <w:r>
        <w:rPr>
          <w:rFonts w:ascii="Quattrocento Sans" w:eastAsia="Quattrocento Sans" w:hAnsi="Quattrocento Sans" w:cs="Quattrocento Sans"/>
          <w:b/>
          <w:bCs/>
          <w:color w:val="000000"/>
          <w:sz w:val="28"/>
          <w:szCs w:val="28"/>
          <w:highlight w:val="yellow"/>
        </w:rPr>
        <w:t xml:space="preserve">: </w:t>
      </w:r>
      <w:r>
        <w:rPr>
          <w:rFonts w:ascii="Calibri" w:eastAsia="Calibri" w:hAnsi="Calibri" w:cs="Calibri"/>
          <w:color w:val="000000"/>
          <w:sz w:val="28"/>
          <w:szCs w:val="28"/>
          <w:highlight w:val="yellow"/>
        </w:rPr>
        <w:t>Emerging Social, Cultural &amp; Normative Issues (Changing Social Realities)</w:t>
      </w:r>
    </w:p>
    <w:p w14:paraId="00000140"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41"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11 references coded  [0.67% Coverage]</w:t>
      </w:r>
    </w:p>
    <w:p w14:paraId="00000142"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43"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1 - 0.04% Coverage</w:t>
      </w:r>
    </w:p>
    <w:p w14:paraId="00000144"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45"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integrate emerging issues such as safety, GBV, and inclusion for special needs learners.</w:t>
      </w:r>
    </w:p>
    <w:p w14:paraId="00000146"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47"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2 - 0.04% Coverage</w:t>
      </w:r>
    </w:p>
    <w:p w14:paraId="00000148"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49"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integrate emerging issues such as safety, GBV, and inclusion for special needs learners.</w:t>
      </w:r>
    </w:p>
    <w:p w14:paraId="0000014A"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4B"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3 - 0.04% Coverage</w:t>
      </w:r>
    </w:p>
    <w:p w14:paraId="0000014C"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4D"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protect refugee and vulnerable girls in emergency settings (Eastleigh, Nairobi)</w:t>
      </w:r>
    </w:p>
    <w:p w14:paraId="0000014E"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4F"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4 - 0.05% Coverage</w:t>
      </w:r>
    </w:p>
    <w:p w14:paraId="00000150"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51"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raise awareness about the importance of child protection in improving education outcomes.</w:t>
      </w:r>
    </w:p>
    <w:p w14:paraId="00000152"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53"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5 - 0.07% Coverage</w:t>
      </w:r>
    </w:p>
    <w:p w14:paraId="00000154"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55"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strengthe</w:t>
      </w:r>
      <w:r>
        <w:rPr>
          <w:rFonts w:ascii="Calibri" w:eastAsia="Calibri" w:hAnsi="Calibri" w:cs="Calibri"/>
          <w:color w:val="000000"/>
          <w:sz w:val="22"/>
          <w:szCs w:val="22"/>
        </w:rPr>
        <w:t>n partnerships that empower communities, schools, and learners to challenge harmful gender norms and promote equality.</w:t>
      </w:r>
    </w:p>
    <w:p w14:paraId="00000156"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57"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6 - 0.05% Coverage</w:t>
      </w:r>
    </w:p>
    <w:p w14:paraId="00000158"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59"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In response to persistent harmful gender norms in schools that perpetuate discrimination and GBV</w:t>
      </w:r>
    </w:p>
    <w:p w14:paraId="0000015A"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5B"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7 - 0.04% Coverage</w:t>
      </w:r>
    </w:p>
    <w:p w14:paraId="0000015C"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5D"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address systemic barriers that prevent girls from thriving academically.</w:t>
      </w:r>
    </w:p>
    <w:p w14:paraId="0000015E"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5F"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8 - 0.04% Coverage</w:t>
      </w:r>
    </w:p>
    <w:p w14:paraId="00000160"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61"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To strengthen school and community collaboration in preventing and responding to SRGBV.</w:t>
      </w:r>
    </w:p>
    <w:p w14:paraId="00000162"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63"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9 - 0.04% Coverag</w:t>
      </w:r>
      <w:r>
        <w:rPr>
          <w:rFonts w:ascii="Calibri" w:eastAsia="Calibri" w:hAnsi="Calibri" w:cs="Calibri"/>
          <w:color w:val="000000"/>
          <w:sz w:val="22"/>
          <w:szCs w:val="22"/>
          <w:shd w:val="clear" w:color="auto" w:fill="D3D3D3"/>
        </w:rPr>
        <w:t>e</w:t>
      </w:r>
    </w:p>
    <w:p w14:paraId="00000164"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65"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Promote recovery and resilience strategies for girls’ education post-pandemic.</w:t>
      </w:r>
    </w:p>
    <w:p w14:paraId="00000166"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67"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10 - 0.06% Coverage</w:t>
      </w:r>
    </w:p>
    <w:p w14:paraId="00000168"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69"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High adolescent pregnancy (33% among girls 15–19) and HIV prevalence in Homa Bay County.</w:t>
      </w:r>
    </w:p>
    <w:p w14:paraId="0000016A"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6B"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11 - 0.19% Coverage</w:t>
      </w:r>
    </w:p>
    <w:p w14:paraId="0000016C"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6D"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Originally issued in 1998, updated in 2010 to reflect changes in the global humanitarian context — including climate change impacts, humanitarian reform, disaster risk reduction, early recovery, and the need for greater preparedness, accountability, and pa</w:t>
      </w:r>
      <w:r>
        <w:rPr>
          <w:rFonts w:ascii="Calibri" w:eastAsia="Calibri" w:hAnsi="Calibri" w:cs="Calibri"/>
          <w:color w:val="000000"/>
          <w:sz w:val="22"/>
          <w:szCs w:val="22"/>
        </w:rPr>
        <w:t>rtnership coordination.</w:t>
      </w:r>
    </w:p>
    <w:p w14:paraId="0000016E"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6F"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8"/>
          <w:szCs w:val="28"/>
          <w:highlight w:val="yellow"/>
        </w:rPr>
      </w:pPr>
      <w:r>
        <w:rPr>
          <w:rFonts w:ascii="Quattrocento Sans" w:eastAsia="Quattrocento Sans" w:hAnsi="Quattrocento Sans" w:cs="Quattrocento Sans"/>
          <w:color w:val="000000"/>
          <w:sz w:val="28"/>
          <w:szCs w:val="28"/>
          <w:highlight w:val="yellow"/>
        </w:rPr>
        <w:t>Theme 8</w:t>
      </w:r>
      <w:r>
        <w:rPr>
          <w:rFonts w:ascii="Calibri" w:eastAsia="Calibri" w:hAnsi="Calibri" w:cs="Calibri"/>
          <w:b/>
          <w:bCs/>
          <w:color w:val="000000"/>
          <w:sz w:val="28"/>
          <w:szCs w:val="28"/>
          <w:highlight w:val="yellow"/>
        </w:rPr>
        <w:t xml:space="preserve">: </w:t>
      </w:r>
      <w:r>
        <w:rPr>
          <w:rFonts w:ascii="Calibri" w:eastAsia="Calibri" w:hAnsi="Calibri" w:cs="Calibri"/>
          <w:color w:val="000000"/>
          <w:sz w:val="28"/>
          <w:szCs w:val="28"/>
          <w:highlight w:val="yellow"/>
        </w:rPr>
        <w:t>Education Outcome Concerns (Access, Retention, Transition)</w:t>
      </w:r>
    </w:p>
    <w:p w14:paraId="00000170"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71"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3 references coded  [0.27% Coverage]</w:t>
      </w:r>
    </w:p>
    <w:p w14:paraId="00000172"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73"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1 - 0.08% Coverage</w:t>
      </w:r>
    </w:p>
    <w:p w14:paraId="00000174"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75"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It was created to provide a national framework and benchmarks for schools to ensure a safe, secure, and child-friendly learning environment</w:t>
      </w:r>
    </w:p>
    <w:p w14:paraId="00000176"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77"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2 - 0.14% Coverage</w:t>
      </w:r>
    </w:p>
    <w:p w14:paraId="00000178"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79"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guideline was created in response to significant learner drop-out rates that unde</w:t>
      </w:r>
      <w:r>
        <w:rPr>
          <w:rFonts w:ascii="Calibri" w:eastAsia="Calibri" w:hAnsi="Calibri" w:cs="Calibri"/>
          <w:color w:val="000000"/>
          <w:sz w:val="22"/>
          <w:szCs w:val="22"/>
        </w:rPr>
        <w:t>rmine access, retention, transition, and completion in basic education, driven by factors such as early pregnancy, HIV and AIDS, gender-based violence, harmful cultural practices, child labour, trafficking, substance abuse, mental health challenges, emerge</w:t>
      </w:r>
      <w:r>
        <w:rPr>
          <w:rFonts w:ascii="Calibri" w:eastAsia="Calibri" w:hAnsi="Calibri" w:cs="Calibri"/>
          <w:color w:val="000000"/>
          <w:sz w:val="22"/>
          <w:szCs w:val="22"/>
        </w:rPr>
        <w:t>ncies, and barriers faced by learners with special needs</w:t>
      </w:r>
    </w:p>
    <w:p w14:paraId="0000017A"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7B"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3 - 0.05% Coverage</w:t>
      </w:r>
    </w:p>
    <w:p w14:paraId="0000017C"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7D" w14:textId="77777777" w:rsidR="0038112D" w:rsidRDefault="006C069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To respond to poor retention and completion rates for girls (only 37% complete secondary school compared to 46% boys).</w:t>
      </w:r>
    </w:p>
    <w:p w14:paraId="0000017E"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8"/>
          <w:szCs w:val="28"/>
          <w:shd w:val="clear" w:color="auto" w:fill="D3D3D3"/>
        </w:rPr>
      </w:pPr>
    </w:p>
    <w:p w14:paraId="0000017F"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shd w:val="clear" w:color="auto" w:fill="D3D3D3"/>
        </w:rPr>
      </w:pPr>
    </w:p>
    <w:p w14:paraId="00000180"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181"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182"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183" w14:textId="77777777" w:rsidR="0038112D" w:rsidRDefault="0038112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sectPr w:rsidR="0038112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98F6BCA-5238-403C-AB6F-5C084C208981}"/>
  </w:font>
  <w:font w:name="Calibri">
    <w:altName w:val="Calibri"/>
    <w:panose1 w:val="020F0502020204030204"/>
    <w:charset w:val="00"/>
    <w:family w:val="swiss"/>
    <w:pitch w:val="variable"/>
    <w:sig w:usb0="E4002EFF" w:usb1="C200247B" w:usb2="00000009" w:usb3="00000000" w:csb0="000001FF" w:csb1="00000000"/>
    <w:embedRegular r:id="rId2" w:fontKey="{3CB99513-0112-4B37-BA74-7DC528295A65}"/>
    <w:embedBold r:id="rId3" w:fontKey="{7DF8CAA6-F353-40EA-89BE-2F96AED32240}"/>
  </w:font>
  <w:font w:name="Quattrocento Sans">
    <w:charset w:val="00"/>
    <w:family w:val="auto"/>
    <w:pitch w:val="default"/>
    <w:embedRegular r:id="rId4" w:fontKey="{4B17CA65-51B8-4E8E-A0FD-BBF5CDC5BD7D}"/>
    <w:embedBold r:id="rId5" w:fontKey="{6BE7EF01-B43F-4960-AC2F-429E6B439EFF}"/>
  </w:font>
  <w:font w:name="Cambria">
    <w:panose1 w:val="02040503050406030204"/>
    <w:charset w:val="00"/>
    <w:family w:val="roman"/>
    <w:pitch w:val="variable"/>
    <w:sig w:usb0="E00006FF" w:usb1="420024FF" w:usb2="02000000" w:usb3="00000000" w:csb0="0000019F" w:csb1="00000000"/>
    <w:embedRegular r:id="rId6" w:fontKey="{2A4B8DBD-CE86-44DE-98A5-3616DB38CA6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E02DB"/>
    <w:multiLevelType w:val="multilevel"/>
    <w:tmpl w:val="90882D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9DB02E0"/>
    <w:multiLevelType w:val="multilevel"/>
    <w:tmpl w:val="15D603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0C17220"/>
    <w:multiLevelType w:val="multilevel"/>
    <w:tmpl w:val="261C89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12D"/>
    <w:rsid w:val="0038112D"/>
    <w:rsid w:val="006C0696"/>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7FD770-0E5D-4CB3-86CA-677848E94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 w:eastAsia="en-KE" w:bidi="ar-SA"/>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3031</Words>
  <Characters>17277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Wakiaga</dc:creator>
  <cp:lastModifiedBy>Lucy Wakiaga</cp:lastModifiedBy>
  <cp:revision>2</cp:revision>
  <dcterms:created xsi:type="dcterms:W3CDTF">2026-07-01T15:24:00Z</dcterms:created>
  <dcterms:modified xsi:type="dcterms:W3CDTF">2026-07-01T15:24:00Z</dcterms:modified>
</cp:coreProperties>
</file>