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14:paraId="0000000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sz w:val="28"/>
          <w:szCs w:val="28"/>
          <w:u w:val="single"/>
        </w:rPr>
      </w:pPr>
      <w:bookmarkStart w:id="0" w:name="_GoBack"/>
      <w:bookmarkEnd w:id="0"/>
      <w:r>
        <w:rPr>
          <w:rFonts w:ascii="Calibri" w:eastAsia="Calibri" w:hAnsi="Calibri" w:cs="Calibri"/>
          <w:b/>
          <w:bCs/>
          <w:sz w:val="28"/>
          <w:szCs w:val="28"/>
          <w:u w:val="single"/>
        </w:rPr>
        <w:t>(RQ3 B)- BARRIERS TO UPTAKE</w:t>
      </w:r>
    </w:p>
    <w:p w14:paraId="0000000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sz w:val="28"/>
          <w:szCs w:val="28"/>
          <w:u w:val="single"/>
        </w:rPr>
      </w:pPr>
    </w:p>
    <w:p w14:paraId="00000003" w14:textId="77777777" w:rsidR="00380A95" w:rsidRDefault="00B63567">
      <w:pP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before="240" w:after="240" w:line="240" w:lineRule="auto"/>
        <w:rPr>
          <w:rFonts w:ascii="Calibri" w:eastAsia="Calibri" w:hAnsi="Calibri" w:cs="Calibri"/>
          <w:b/>
          <w:bCs/>
          <w:sz w:val="22"/>
          <w:szCs w:val="22"/>
          <w:shd w:val="clear" w:color="auto" w:fill="9900FF"/>
        </w:rPr>
      </w:pPr>
      <w:r>
        <w:rPr>
          <w:rFonts w:ascii="Calibri" w:eastAsia="Calibri" w:hAnsi="Calibri" w:cs="Calibri"/>
          <w:b/>
          <w:bCs/>
          <w:sz w:val="22"/>
          <w:szCs w:val="22"/>
          <w:shd w:val="clear" w:color="auto" w:fill="9900FF"/>
        </w:rPr>
        <w:t>Description: Identify and evaluate the opportunities  to the uptake of the current SRGBV prevention policies and guidelines in Kenya’s schools.</w:t>
      </w:r>
    </w:p>
    <w:p w14:paraId="0000000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sz w:val="28"/>
          <w:szCs w:val="28"/>
          <w:highlight w:val="red"/>
        </w:rPr>
      </w:pPr>
    </w:p>
    <w:p w14:paraId="0000000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Theme 1 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Socio-economic factors</w:t>
      </w:r>
    </w:p>
    <w:p w14:paraId="0000000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0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&lt;Files\\SRGBV Policy Review BEFORE CODING (2)&gt; - § 11 references coded  [0.43% Coverage]</w:t>
      </w:r>
    </w:p>
    <w:p w14:paraId="0000000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0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1 - 0.03% Coverage</w:t>
      </w:r>
    </w:p>
    <w:p w14:paraId="0000000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0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• Gaps in service accessibility for rural and marginalized children.</w:t>
      </w:r>
    </w:p>
    <w:p w14:paraId="0000000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0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2 - 0.04% Coverage</w:t>
      </w:r>
    </w:p>
    <w:p w14:paraId="0000000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0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Regional disparities in access and</w:t>
      </w: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 xml:space="preserve"> retention (especially in ASALs and urban slums).</w:t>
      </w:r>
    </w:p>
    <w:p w14:paraId="0000001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1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3 - 0.04% Coverage</w:t>
      </w:r>
    </w:p>
    <w:p w14:paraId="0000001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1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Persistent inequities (geographic, gender, socio-economic).</w:t>
      </w:r>
    </w:p>
    <w:p w14:paraId="0000001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1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4 - 0.03% Coverage</w:t>
      </w:r>
    </w:p>
    <w:p w14:paraId="0000001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1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Weak protection systems for refugee and urban poor girls</w:t>
      </w:r>
    </w:p>
    <w:p w14:paraId="0000001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1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5 - 0.04% Coverage</w:t>
      </w:r>
    </w:p>
    <w:p w14:paraId="0000001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1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Deep poverty and family instability in informal settlements.</w:t>
      </w:r>
    </w:p>
    <w:p w14:paraId="0000001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1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6 - 0.04% Coverage</w:t>
      </w:r>
    </w:p>
    <w:p w14:paraId="0000001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1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Poverty and insecurity in informal settlements limiting access to justice and protection.</w:t>
      </w:r>
    </w:p>
    <w:p w14:paraId="0000002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2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7 - 0.04% Coverage</w:t>
      </w:r>
    </w:p>
    <w:p w14:paraId="0000002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2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 xml:space="preserve">• Gender </w:t>
      </w: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digital divide and poor infrastructure.</w:t>
      </w:r>
    </w:p>
    <w:p w14:paraId="0000002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2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8 - 0.02% Coverage</w:t>
      </w:r>
    </w:p>
    <w:p w14:paraId="0000002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2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Poverty leading to transactional sex.</w:t>
      </w:r>
    </w:p>
    <w:p w14:paraId="0000002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2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9 - 0.04% Coverage</w:t>
      </w:r>
    </w:p>
    <w:p w14:paraId="0000002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2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- Economic constraints among beneficiaries (teen mothers).</w:t>
      </w:r>
    </w:p>
    <w:p w14:paraId="0000002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2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10 - 0.05% Coverage</w:t>
      </w:r>
    </w:p>
    <w:p w14:paraId="0000002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2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 xml:space="preserve"> Poverty and infrastructure gaps (e.g., water, electricity, transport) exacerbate vulnerability.</w:t>
      </w:r>
    </w:p>
    <w:p w14:paraId="0000003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3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  <w:t>Reference 11 - 0.05% Coverage</w:t>
      </w:r>
    </w:p>
    <w:p w14:paraId="0000003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  <w:shd w:val="clear" w:color="auto" w:fill="D3D3D3"/>
        </w:rPr>
      </w:pPr>
    </w:p>
    <w:p w14:paraId="0000003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  <w:r>
        <w:rPr>
          <w:rFonts w:ascii="Quattrocento Sans" w:eastAsia="Quattrocento Sans" w:hAnsi="Quattrocento Sans" w:cs="Quattrocento Sans"/>
          <w:color w:val="000000"/>
          <w:sz w:val="20"/>
          <w:szCs w:val="20"/>
        </w:rPr>
        <w:t>• Small sample / limited services in slum contexts; limited access to health/counselling services.</w:t>
      </w:r>
    </w:p>
    <w:p w14:paraId="0000003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p w14:paraId="0000003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lastRenderedPageBreak/>
        <w:t xml:space="preserve">Theme 2: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Lack of resources</w:t>
      </w:r>
    </w:p>
    <w:p w14:paraId="0000003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3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18 references coded  [0.62% Coverage]</w:t>
      </w:r>
    </w:p>
    <w:p w14:paraId="0000003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3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1 - 0.03% Coverage</w:t>
      </w:r>
    </w:p>
    <w:p w14:paraId="0000003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3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“Resource constraints, including inadequate school counsellors and lack of infrastructure for safe spaces.”</w:t>
      </w:r>
    </w:p>
    <w:p w14:paraId="0000003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3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2 - 0.02% Coverage</w:t>
      </w:r>
    </w:p>
    <w:p w14:paraId="0000003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3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3. Health, security, and justice sectors have limited capacity and resources to respond effectively</w:t>
      </w:r>
    </w:p>
    <w:p w14:paraId="0000004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4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3 - 0.05% Coverage</w:t>
      </w:r>
    </w:p>
    <w:p w14:paraId="0000004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4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Resource constraints: many schools lack adequate funds for infrastructure, safe water, sanitati</w:t>
      </w:r>
      <w:r>
        <w:rPr>
          <w:rFonts w:ascii="Calibri" w:eastAsia="Calibri" w:hAnsi="Calibri" w:cs="Calibri"/>
          <w:color w:val="000000"/>
          <w:sz w:val="22"/>
          <w:szCs w:val="22"/>
        </w:rPr>
        <w:t>on, or disaster-preparedness equipment .</w:t>
      </w:r>
    </w:p>
    <w:p w14:paraId="0000004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4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4 - 0.03% Coverage</w:t>
      </w:r>
    </w:p>
    <w:p w14:paraId="0000004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4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Limited accessibility for children with disabilities due to inadequate facilities and assistive devices</w:t>
      </w:r>
    </w:p>
    <w:p w14:paraId="0000004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4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5 - 0.03% Coverage</w:t>
      </w:r>
    </w:p>
    <w:p w14:paraId="0000004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4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Resource gaps (financial, human, infrastructural)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constrain effective implementation.</w:t>
      </w:r>
    </w:p>
    <w:p w14:paraId="0000004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4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6 - 0.03% Coverage</w:t>
      </w:r>
    </w:p>
    <w:p w14:paraId="0000004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4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Under-resourced child protection and psychosocial services.</w:t>
      </w:r>
    </w:p>
    <w:p w14:paraId="0000005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5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7 - 0.02% Coverage</w:t>
      </w:r>
    </w:p>
    <w:p w14:paraId="0000005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5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Inadequate financing and resource allocation.</w:t>
      </w:r>
    </w:p>
    <w:p w14:paraId="0000005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5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8 - 0.03% Coverage</w:t>
      </w:r>
    </w:p>
    <w:p w14:paraId="0000005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5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Dependence on donor funding for some programmes.</w:t>
      </w:r>
    </w:p>
    <w:p w14:paraId="0000005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5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9 - 0.05% Coverage</w:t>
      </w:r>
    </w:p>
    <w:p w14:paraId="0000005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5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resources and capacity for schools to manage protection cases.</w:t>
      </w:r>
    </w:p>
    <w:p w14:paraId="0000005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5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10 - 0.04% Coverage</w:t>
      </w:r>
    </w:p>
    <w:p w14:paraId="0000005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5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training resources and reach to all schools.</w:t>
      </w:r>
    </w:p>
    <w:p w14:paraId="0000006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6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 xml:space="preserve">Reference 11 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- 0.03% Coverage</w:t>
      </w:r>
    </w:p>
    <w:p w14:paraId="0000006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6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Resource constraints at school/community levels.</w:t>
      </w:r>
    </w:p>
    <w:p w14:paraId="0000006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6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12 - 0.03% Coverage</w:t>
      </w:r>
    </w:p>
    <w:p w14:paraId="0000006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6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Education budget cuts due to COVID-19</w:t>
      </w:r>
    </w:p>
    <w:p w14:paraId="0000006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6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13 - 0.02% Coverage</w:t>
      </w:r>
    </w:p>
    <w:p w14:paraId="0000006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6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Dependence on donor funding.</w:t>
      </w:r>
    </w:p>
    <w:p w14:paraId="0000006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6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14 - 0.05% Coverage</w:t>
      </w:r>
    </w:p>
    <w:p w14:paraId="0000006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6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Implementation depends on national capacity, funding, and security access.</w:t>
      </w:r>
    </w:p>
    <w:p w14:paraId="0000007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15 - 0.04% Coverage</w:t>
      </w:r>
    </w:p>
    <w:p w14:paraId="0000007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7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Resource constraints and limited local preparedness capacities.</w:t>
      </w:r>
    </w:p>
    <w:p w14:paraId="0000007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16 - 0.03% Coverage</w:t>
      </w:r>
    </w:p>
    <w:p w14:paraId="0000007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7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Dependence on donor funding for sustainability.</w:t>
      </w:r>
    </w:p>
    <w:p w14:paraId="0000007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17 - 0.03% Coverage</w:t>
      </w:r>
    </w:p>
    <w:p w14:paraId="0000007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7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Funding sustainability beyond donor cycles</w:t>
      </w:r>
    </w:p>
    <w:p w14:paraId="0000007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7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18 - 0.06% Coverage</w:t>
      </w:r>
    </w:p>
    <w:p w14:paraId="0000007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7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- Low feasibility of policies due to lack of resources, poor implementation capacity and political hurdles.</w:t>
      </w:r>
    </w:p>
    <w:p w14:paraId="0000008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8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Theme 3: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Lack of Proper M&amp;E, evidence and data.</w:t>
      </w:r>
    </w:p>
    <w:p w14:paraId="0000008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8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27 references coded  [1.04% Coverage]</w:t>
      </w:r>
    </w:p>
    <w:p w14:paraId="0000008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8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1 - 0.01% Coverage</w:t>
      </w:r>
    </w:p>
    <w:p w14:paraId="0000008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8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6. Weak data management and a poor Monitoring &amp; Evaluation framework for GBV management. </w:t>
      </w:r>
    </w:p>
    <w:p w14:paraId="0000008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8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2 - 0.01% Coverage</w:t>
      </w:r>
    </w:p>
    <w:p w14:paraId="0000008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8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7. Weak utilization of existing research to inform policy and programming. </w:t>
      </w:r>
    </w:p>
    <w:p w14:paraId="0000008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8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3 - 0.01% Coverage</w:t>
      </w:r>
    </w:p>
    <w:p w14:paraId="0000008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8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10. Limited documented evidence on what works for primary prevention in the country.</w:t>
      </w:r>
    </w:p>
    <w:p w14:paraId="0000009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9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lastRenderedPageBreak/>
        <w:t>Reference 4 - 0.01% Coverage</w:t>
      </w:r>
    </w:p>
    <w:p w14:paraId="0000009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9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17. Lack of evidence­-based programs for rehabilitation of perpetrators. </w:t>
      </w:r>
    </w:p>
    <w:p w14:paraId="0000009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9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5 - 0.01% Coverage</w:t>
      </w:r>
    </w:p>
    <w:p w14:paraId="0000009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9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5. Weak data management and M&amp;E systems for GBV</w:t>
      </w:r>
    </w:p>
    <w:p w14:paraId="0000009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9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6 - 0.02% Coverage</w:t>
      </w:r>
    </w:p>
    <w:p w14:paraId="0000009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9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6.Weak utilization of existing research to inform policy/programming</w:t>
      </w:r>
    </w:p>
    <w:p w14:paraId="0000009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9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7 - 0.02% Coverage</w:t>
      </w:r>
    </w:p>
    <w:p w14:paraId="0000009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9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10. Lack of comprehensive prevention mechanisms and evidence-based interventions</w:t>
      </w:r>
    </w:p>
    <w:p w14:paraId="000000A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A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8 - 0.07% Coverage</w:t>
      </w:r>
    </w:p>
    <w:p w14:paraId="000000A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A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No explicit mechanisms for monitoring compliance in institutions such as schools</w:t>
      </w:r>
    </w:p>
    <w:p w14:paraId="000000A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A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9 - 0.03% Coverage</w:t>
      </w:r>
    </w:p>
    <w:p w14:paraId="000000A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A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Underreporting of GBV cases due to stigma and silence.</w:t>
      </w:r>
    </w:p>
    <w:p w14:paraId="000000A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A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10 - 0.03% Coverage</w:t>
      </w:r>
    </w:p>
    <w:p w14:paraId="000000A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A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national data and weak research base on SRGBV prevalence.</w:t>
      </w:r>
    </w:p>
    <w:p w14:paraId="000000A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A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11 - 0.03% Coverage</w:t>
      </w:r>
    </w:p>
    <w:p w14:paraId="000000A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A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referral mechanisms and data-sharing systems.</w:t>
      </w:r>
    </w:p>
    <w:p w14:paraId="000000B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B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 xml:space="preserve">Reference 12 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- 0.02% Coverage</w:t>
      </w:r>
    </w:p>
    <w:p w14:paraId="000000B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B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Data gaps on SRGBV, especially among children below 15 years</w:t>
      </w:r>
    </w:p>
    <w:p w14:paraId="000000B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B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13 - 0.08% Coverage</w:t>
      </w:r>
    </w:p>
    <w:p w14:paraId="000000B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B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Users may need more contextual or qualitative detail to design interventions.</w:t>
      </w:r>
    </w:p>
    <w:p w14:paraId="000000B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reach among practitioners who do not regularly access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data portals.</w:t>
      </w:r>
    </w:p>
    <w:p w14:paraId="000000B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B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14 - 0.07% Coverage</w:t>
      </w:r>
    </w:p>
    <w:p w14:paraId="000000B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B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The factsheet depends on the quality and coverage of underlying survey data; gaps (e.g. for children under 13) may reduce comprehensiveness.</w:t>
      </w:r>
    </w:p>
    <w:p w14:paraId="000000B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B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15 - 0.07% Coverage</w:t>
      </w:r>
    </w:p>
    <w:p w14:paraId="000000B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C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• Survey data take time and resources; not all countries have recent or reliable data.</w:t>
      </w:r>
    </w:p>
    <w:p w14:paraId="000000C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Translating data into programming can be hindered by limited capacity, funding, institutional coordination.</w:t>
      </w:r>
    </w:p>
    <w:p w14:paraId="000000C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C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16 - 0.08% Coverage</w:t>
      </w:r>
    </w:p>
    <w:p w14:paraId="000000C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C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Some violence forms or ri</w:t>
      </w:r>
      <w:r>
        <w:rPr>
          <w:rFonts w:ascii="Calibri" w:eastAsia="Calibri" w:hAnsi="Calibri" w:cs="Calibri"/>
          <w:color w:val="000000"/>
          <w:sz w:val="22"/>
          <w:szCs w:val="22"/>
        </w:rPr>
        <w:t>sk groups may still be under-represented in the data (age, type, location).</w:t>
      </w:r>
    </w:p>
    <w:p w14:paraId="000000C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Data dissemination might not reach all relevant stakeholders (local school heads, community leaders) effectively.</w:t>
      </w:r>
    </w:p>
    <w:p w14:paraId="000000C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C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17 - 0.03% Coverage</w:t>
      </w:r>
    </w:p>
    <w:p w14:paraId="000000C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C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Gaps in sex-disaggregated data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and gender analysis.</w:t>
      </w:r>
    </w:p>
    <w:p w14:paraId="000000C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C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18 - 0.04% Coverage</w:t>
      </w:r>
    </w:p>
    <w:p w14:paraId="000000C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C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Inadequate gender-disaggregated data for monitoring re-entry</w:t>
      </w:r>
    </w:p>
    <w:p w14:paraId="000000C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D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19 - 0.02% Coverage</w:t>
      </w:r>
    </w:p>
    <w:p w14:paraId="000000D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D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data and monitoring systems</w:t>
      </w:r>
    </w:p>
    <w:p w14:paraId="000000D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D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20 - 0.03% Coverage</w:t>
      </w:r>
    </w:p>
    <w:p w14:paraId="000000D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D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national-level data and coordination across sectors.</w:t>
      </w:r>
    </w:p>
    <w:p w14:paraId="000000D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D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21 - 0.04% Coverage</w:t>
      </w:r>
    </w:p>
    <w:p w14:paraId="000000D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D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Overburdened education systems with limited monitoring capacity.</w:t>
      </w:r>
    </w:p>
    <w:p w14:paraId="000000D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D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22 - 0.04% Coverage</w:t>
      </w:r>
    </w:p>
    <w:p w14:paraId="000000D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D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access to quality data in emergencies.</w:t>
      </w:r>
    </w:p>
    <w:p w14:paraId="000000D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E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23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 xml:space="preserve"> - 0.04% Coverage</w:t>
      </w:r>
    </w:p>
    <w:p w14:paraId="000000E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E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disaggregated data and under-reporting of GBV cases.</w:t>
      </w:r>
    </w:p>
    <w:p w14:paraId="000000E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E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24 - 0.07% Coverage</w:t>
      </w:r>
    </w:p>
    <w:p w14:paraId="000000E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E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Ineffectiveness of some rules and regulations (only moderately effective per teachers’ feedback).</w:t>
      </w:r>
    </w:p>
    <w:p w14:paraId="000000E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E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25 - 0.02% Coverage</w:t>
      </w:r>
    </w:p>
    <w:p w14:paraId="000000E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E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monitoring and evaluation of SRGBV interventions</w:t>
      </w:r>
    </w:p>
    <w:p w14:paraId="000000E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E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26 - 0.11% Coverage</w:t>
      </w:r>
    </w:p>
    <w:p w14:paraId="000000E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E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 xml:space="preserve"> - Need to rigorously evaluate school-based GBV interventions with more extended follow-up periods to establish these interventions’ sustained effects and inform fur</w:t>
      </w:r>
      <w:r>
        <w:rPr>
          <w:rFonts w:ascii="Calibri" w:eastAsia="Calibri" w:hAnsi="Calibri" w:cs="Calibri"/>
          <w:color w:val="000000"/>
          <w:sz w:val="22"/>
          <w:szCs w:val="22"/>
        </w:rPr>
        <w:t>ther investments in programming.</w:t>
      </w:r>
    </w:p>
    <w:p w14:paraId="000000E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F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27 - 0.03% Coverage</w:t>
      </w:r>
    </w:p>
    <w:p w14:paraId="000000F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F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There is need for research to focus on evaluations showing the sustained effects of SRGBV interventions after end of donor funded programmes.</w:t>
      </w:r>
    </w:p>
    <w:p w14:paraId="000000F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highlight w:val="yellow"/>
        </w:rPr>
      </w:pPr>
    </w:p>
    <w:p w14:paraId="000000F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Quattrocento Sans" w:eastAsia="Quattrocento Sans" w:hAnsi="Quattrocento Sans" w:cs="Quattrocento Sans"/>
          <w:color w:val="000000"/>
          <w:sz w:val="28"/>
          <w:szCs w:val="28"/>
          <w:highlight w:val="yellow"/>
        </w:rPr>
        <w:t>Theme 4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Lack of proper implementation of SRGBV interventions</w:t>
      </w:r>
    </w:p>
    <w:p w14:paraId="000000F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F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6 references coded  [0.16% Coverage]</w:t>
      </w:r>
    </w:p>
    <w:p w14:paraId="000000F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F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1 - 0.01% Coverage</w:t>
      </w:r>
    </w:p>
    <w:p w14:paraId="000000F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F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5. Inadequate enforcement of legislation to curb GBV due to lack of a policy framework. </w:t>
      </w:r>
    </w:p>
    <w:p w14:paraId="000000F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0F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2 - 0.02% Coverage</w:t>
      </w:r>
    </w:p>
    <w:p w14:paraId="000000F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0F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11. The link between gender-based violence, sex and HIV/AIDS is still not clear in programming and therefore the approaches applied may not be as effective as they ought to be. </w:t>
      </w:r>
    </w:p>
    <w:p w14:paraId="000000F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0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3 - 0.01% Coverage</w:t>
      </w:r>
    </w:p>
    <w:p w14:paraId="0000010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0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16. Lack of comprehensive programs for rehabili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tation of survivors. </w:t>
      </w:r>
    </w:p>
    <w:p w14:paraId="0000010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0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4 - 0.06% Coverage</w:t>
      </w:r>
    </w:p>
    <w:p w14:paraId="0000010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0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The blog highlights Kenya as a leading example with clear re-entry guidelines and SGBV reporting procedures, but with ongoing challenges in implementation.</w:t>
      </w:r>
    </w:p>
    <w:p w14:paraId="0000010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0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5 - 0.03% Coverage</w:t>
      </w:r>
    </w:p>
    <w:p w14:paraId="0000010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0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Most of the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school-based interventions target one gender. </w:t>
      </w:r>
    </w:p>
    <w:p w14:paraId="0000010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0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6 - 0.03% Coverage</w:t>
      </w:r>
    </w:p>
    <w:p w14:paraId="0000010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0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Lack of school administration support on making school level prevention of SRGBV a success.  </w:t>
      </w:r>
    </w:p>
    <w:p w14:paraId="0000010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0000011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  <w:szCs w:val="22"/>
          <w:highlight w:val="yellow"/>
        </w:rPr>
      </w:pPr>
    </w:p>
    <w:p w14:paraId="0000011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Quattrocento Sans" w:eastAsia="Quattrocento Sans" w:hAnsi="Quattrocento Sans" w:cs="Quattrocento Sans"/>
          <w:color w:val="000000"/>
          <w:sz w:val="28"/>
          <w:szCs w:val="28"/>
          <w:highlight w:val="yellow"/>
        </w:rPr>
        <w:t>Theme 5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Lack of coordination and partnership</w:t>
      </w:r>
    </w:p>
    <w:p w14:paraId="0000011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1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10 references coded  [0.52% Coverage]</w:t>
      </w:r>
    </w:p>
    <w:p w14:paraId="0000011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1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1 - 0.02% Coverage</w:t>
      </w:r>
    </w:p>
    <w:p w14:paraId="0000011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1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2. Limited coordination of stakeholders working on GBV prevention and response</w:t>
      </w:r>
    </w:p>
    <w:p w14:paraId="0000011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1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lastRenderedPageBreak/>
        <w:t>Reference 2 - 0.04% Coverage</w:t>
      </w:r>
    </w:p>
    <w:p w14:paraId="0000011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1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Coordination challenges across ministries and non-state actors.</w:t>
      </w:r>
    </w:p>
    <w:p w14:paraId="0000011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1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3 - 0.03% Coverage</w:t>
      </w:r>
    </w:p>
    <w:p w14:paraId="0000011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1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Poor coordination among education, child protection, and judicial systems</w:t>
      </w:r>
    </w:p>
    <w:p w14:paraId="0000012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2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4 - 0.04% Coverage</w:t>
      </w:r>
    </w:p>
    <w:p w14:paraId="0000012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2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Lack of clear national or county-level guidelines on SGBV in schools.</w:t>
      </w:r>
    </w:p>
    <w:p w14:paraId="0000012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2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5 - 0.03% Coverage</w:t>
      </w:r>
    </w:p>
    <w:p w14:paraId="0000012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2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coordination between ministries and sectors.</w:t>
      </w:r>
    </w:p>
    <w:p w14:paraId="0000012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2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6 - 0.06% Coverage</w:t>
      </w:r>
    </w:p>
    <w:p w14:paraId="0000012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2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Varying local understanding of CCCs among partners.</w:t>
      </w:r>
    </w:p>
    <w:p w14:paraId="0000012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Coordination c</w:t>
      </w:r>
      <w:r>
        <w:rPr>
          <w:rFonts w:ascii="Calibri" w:eastAsia="Calibri" w:hAnsi="Calibri" w:cs="Calibri"/>
          <w:color w:val="000000"/>
          <w:sz w:val="22"/>
          <w:szCs w:val="22"/>
        </w:rPr>
        <w:t>hallenges in multi-agency settings.</w:t>
      </w:r>
    </w:p>
    <w:p w14:paraId="0000012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2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7 - 0.03% Coverage</w:t>
      </w:r>
    </w:p>
    <w:p w14:paraId="0000012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3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Uneven capacity and coordination across counties.</w:t>
      </w:r>
    </w:p>
    <w:p w14:paraId="0000013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3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8 - 0.04% Coverage</w:t>
      </w:r>
    </w:p>
    <w:p w14:paraId="0000013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3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The interventions do not target families, communities and parents. </w:t>
      </w:r>
    </w:p>
    <w:p w14:paraId="0000013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3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9 - 0.03% Coverage</w:t>
      </w:r>
    </w:p>
    <w:p w14:paraId="0000013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3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- Success of topics around sexuality require broader </w:t>
      </w:r>
    </w:p>
    <w:p w14:paraId="0000013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community engagement and are crucial to the success of SRGBV interventions. </w:t>
      </w:r>
    </w:p>
    <w:p w14:paraId="0000013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3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10 - 0.19% Coverage</w:t>
      </w:r>
    </w:p>
    <w:p w14:paraId="0000013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3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Weak mechanisms for coordination and cooperation between national and </w:t>
      </w:r>
    </w:p>
    <w:p w14:paraId="0000013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county governments in the provision of education.</w:t>
      </w:r>
    </w:p>
    <w:p w14:paraId="0000013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4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Theme 6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Lack of capacity building, awareness or training</w:t>
      </w:r>
    </w:p>
    <w:p w14:paraId="0000014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4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17 references coded  [0.56% Coverage]</w:t>
      </w:r>
    </w:p>
    <w:p w14:paraId="0000014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4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1 - 0.03% Coverage</w:t>
      </w:r>
    </w:p>
    <w:p w14:paraId="0000014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4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“Inadequate capacity of teachers and school staff to apply alternative positive discipline and manage VAC cases.”</w:t>
      </w:r>
    </w:p>
    <w:p w14:paraId="0000014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4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2 - 0.04% Coverage</w:t>
      </w:r>
    </w:p>
    <w:p w14:paraId="0000014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4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Capacity gaps: teachers and administrators may lack training in child protection, counselling, or emergency res</w:t>
      </w:r>
      <w:r>
        <w:rPr>
          <w:rFonts w:ascii="Calibri" w:eastAsia="Calibri" w:hAnsi="Calibri" w:cs="Calibri"/>
          <w:color w:val="000000"/>
          <w:sz w:val="22"/>
          <w:szCs w:val="22"/>
        </w:rPr>
        <w:t>ponse</w:t>
      </w:r>
    </w:p>
    <w:p w14:paraId="0000014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4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3 - 0.04% Coverage</w:t>
      </w:r>
    </w:p>
    <w:p w14:paraId="0000014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4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Inadequate funding and trained personnel for child protection services.</w:t>
      </w:r>
    </w:p>
    <w:p w14:paraId="0000014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5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4 - 0.03% Coverage</w:t>
      </w:r>
    </w:p>
    <w:p w14:paraId="0000015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5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Inadequate sensitization of teachers and learners on GBV content.</w:t>
      </w:r>
    </w:p>
    <w:p w14:paraId="0000015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5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5 - 0.03% Coverage</w:t>
      </w:r>
    </w:p>
    <w:p w14:paraId="0000015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5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institutional capacity and training for gender committees</w:t>
      </w:r>
    </w:p>
    <w:p w14:paraId="0000015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5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6 - 0.04% Coverage</w:t>
      </w:r>
    </w:p>
    <w:p w14:paraId="0000015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5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sexual and reproductive health knowledge among adolescents.</w:t>
      </w:r>
    </w:p>
    <w:p w14:paraId="0000015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5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7 - 0.04% Coverage</w:t>
      </w:r>
    </w:p>
    <w:p w14:paraId="0000015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5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Lack of awareness among teachers, parents, and communitie</w:t>
      </w:r>
      <w:r>
        <w:rPr>
          <w:rFonts w:ascii="Calibri" w:eastAsia="Calibri" w:hAnsi="Calibri" w:cs="Calibri"/>
          <w:color w:val="000000"/>
          <w:sz w:val="22"/>
          <w:szCs w:val="22"/>
        </w:rPr>
        <w:t>s.</w:t>
      </w:r>
    </w:p>
    <w:p w14:paraId="0000015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6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8 - 0.05% Coverage</w:t>
      </w:r>
    </w:p>
    <w:p w14:paraId="0000016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6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Weak community awareness of child rights and available protection mechanisms.</w:t>
      </w:r>
    </w:p>
    <w:p w14:paraId="0000016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6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9 - 0.03% Coverage</w:t>
      </w:r>
    </w:p>
    <w:p w14:paraId="0000016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6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capacity building for frontline responders</w:t>
      </w:r>
    </w:p>
    <w:p w14:paraId="0000016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6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10 - 0.04% Coverage</w:t>
      </w:r>
    </w:p>
    <w:p w14:paraId="0000016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6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training resources and reach to all schools.</w:t>
      </w:r>
    </w:p>
    <w:p w14:paraId="0000016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6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11 - 0.03% Coverage</w:t>
      </w:r>
    </w:p>
    <w:p w14:paraId="0000016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6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Insufficient teacher training and resources.</w:t>
      </w:r>
    </w:p>
    <w:p w14:paraId="0000016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7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12 - 0.04% Coverage</w:t>
      </w:r>
    </w:p>
    <w:p w14:paraId="0000017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7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Limited teacher capacity for positive discipline and gender-responsive pedagogy.</w:t>
      </w:r>
    </w:p>
    <w:p w14:paraId="0000017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7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nce 13 - 0.06% Coverage</w:t>
      </w:r>
    </w:p>
    <w:p w14:paraId="0000017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7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– Inadequate training of teachers in counseling and handling sexual harassment cases.</w:t>
      </w:r>
    </w:p>
    <w:p w14:paraId="0000017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7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14 - 0.01% Coverage</w:t>
      </w:r>
    </w:p>
    <w:p w14:paraId="0000017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7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- Inadequate teacher training  </w:t>
      </w:r>
    </w:p>
    <w:p w14:paraId="0000017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7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15 - 0.02% Coverage</w:t>
      </w:r>
    </w:p>
    <w:p w14:paraId="0000017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7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Inadequate training of teachers</w:t>
      </w:r>
    </w:p>
    <w:p w14:paraId="0000017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8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16 - 0.03% Coverage</w:t>
      </w:r>
    </w:p>
    <w:p w14:paraId="0000018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8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Inadequate teacher training to implement moral education components in the curriculum.        </w:t>
      </w:r>
    </w:p>
    <w:p w14:paraId="0000018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8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17 - 0.02% Coverage</w:t>
      </w:r>
    </w:p>
    <w:p w14:paraId="0000018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8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Teachers struggle to implement sexuality education as they term topics sensitive</w:t>
      </w:r>
    </w:p>
    <w:p w14:paraId="0000018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8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</w:pP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>Theme 7: Insufficient Institutional Capacity</w:t>
      </w:r>
    </w:p>
    <w:p w14:paraId="0000018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8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Name: Insufficient Institutional Capacity</w:t>
      </w:r>
    </w:p>
    <w:p w14:paraId="0000018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8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15 references coded  [0.46% Coverage]</w:t>
      </w:r>
    </w:p>
    <w:p w14:paraId="0000018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8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1 - 0.02% Coverage</w:t>
      </w:r>
    </w:p>
    <w:p w14:paraId="0000018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9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3. The health, security and justice sectors have limited capacity and resources to effectively respond to GBV and implement anti-GBV programmes. </w:t>
      </w:r>
    </w:p>
    <w:p w14:paraId="0000019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9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2 - 0.01% Coverage</w:t>
      </w:r>
    </w:p>
    <w:p w14:paraId="0000019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9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4. Inadequate programmatic focus in addressing GBV in the public and private se</w:t>
      </w:r>
      <w:r>
        <w:rPr>
          <w:rFonts w:ascii="Calibri" w:eastAsia="Calibri" w:hAnsi="Calibri" w:cs="Calibri"/>
          <w:color w:val="000000"/>
          <w:sz w:val="22"/>
          <w:szCs w:val="22"/>
        </w:rPr>
        <w:t>ctor work places.</w:t>
      </w:r>
    </w:p>
    <w:p w14:paraId="0000019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9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3 - 0.01% Coverage</w:t>
      </w:r>
    </w:p>
    <w:p w14:paraId="0000019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9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14. Lack of DNA laboratories at the county level</w:t>
      </w:r>
    </w:p>
    <w:p w14:paraId="0000019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9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4 - 0.01% Coverage</w:t>
      </w:r>
    </w:p>
    <w:p w14:paraId="0000019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9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15. Weak chain of custody of forensic evidence resulting in acquittals. </w:t>
      </w:r>
    </w:p>
    <w:p w14:paraId="0000019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9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5 - 0.03% Coverage</w:t>
      </w:r>
    </w:p>
    <w:p w14:paraId="0000019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A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9. Lack of DNA labs at county level and weak chain of custody of forensic evidence resulting in acquittals</w:t>
      </w:r>
    </w:p>
    <w:p w14:paraId="000001A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A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6 - 0.05% Coverage</w:t>
      </w:r>
    </w:p>
    <w:p w14:paraId="000001A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A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• Insufficient funding and human resource capacity, especially at county level.</w:t>
      </w:r>
    </w:p>
    <w:p w14:paraId="000001A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A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7 - 0.07% Coverage</w:t>
      </w:r>
    </w:p>
    <w:p w14:paraId="000001A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A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It also cites preliminary efforts by teacher training institutions to establish gender committees—though with inadequate training and weak enforcement capacity.</w:t>
      </w:r>
    </w:p>
    <w:p w14:paraId="000001A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A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8 - 0.04% Coverage</w:t>
      </w:r>
    </w:p>
    <w:p w14:paraId="000001A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A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Possibly limited resources for school-based SRGBV intervention</w:t>
      </w:r>
      <w:r>
        <w:rPr>
          <w:rFonts w:ascii="Calibri" w:eastAsia="Calibri" w:hAnsi="Calibri" w:cs="Calibri"/>
          <w:color w:val="000000"/>
          <w:sz w:val="22"/>
          <w:szCs w:val="22"/>
        </w:rPr>
        <w:t>s (e.g. counselor availability, staff training).</w:t>
      </w:r>
    </w:p>
    <w:p w14:paraId="000001A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A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9 - 0.04% Coverage</w:t>
      </w:r>
    </w:p>
    <w:p w14:paraId="000001A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B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County-level capacity gaps in planning and financing.</w:t>
      </w:r>
    </w:p>
    <w:p w14:paraId="000001B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B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10 - 0.04% Coverage</w:t>
      </w:r>
    </w:p>
    <w:p w14:paraId="000001B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B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capacity and resources for implementation at local level.</w:t>
      </w:r>
    </w:p>
    <w:p w14:paraId="000001B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B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11 - 0.05% Coverage</w:t>
      </w:r>
    </w:p>
    <w:p w14:paraId="000001B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B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resources and capacity for schools to manage protection cases.</w:t>
      </w:r>
    </w:p>
    <w:p w14:paraId="000001B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B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12 - 0.03% Coverage</w:t>
      </w:r>
    </w:p>
    <w:p w14:paraId="000001B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B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Bureaucracy and slow institutional follow-up on reported cases.</w:t>
      </w:r>
    </w:p>
    <w:p w14:paraId="000001B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B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13 - 0.04% Coverage</w:t>
      </w:r>
    </w:p>
    <w:p w14:paraId="000001B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C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Insufficient psychosocial support systems in schools.</w:t>
      </w:r>
    </w:p>
    <w:p w14:paraId="000001C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C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14 - 0.04% Coverage</w:t>
      </w:r>
    </w:p>
    <w:p w14:paraId="000001C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C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Overburdened education systems with limited monitoring capacity.</w:t>
      </w:r>
    </w:p>
    <w:p w14:paraId="000001C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  <w:szCs w:val="22"/>
        </w:rPr>
      </w:pPr>
    </w:p>
    <w:p w14:paraId="000001C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Quattrocento Sans" w:eastAsia="Quattrocento Sans" w:hAnsi="Quattrocento Sans" w:cs="Quattrocento Sans"/>
          <w:color w:val="000000"/>
          <w:sz w:val="28"/>
          <w:szCs w:val="28"/>
          <w:highlight w:val="yellow"/>
        </w:rPr>
        <w:t>Theme 8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Inadequate Systems for Response, Referral or Reporting of SRGBV cases</w:t>
      </w:r>
    </w:p>
    <w:p w14:paraId="000001C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C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28 references coded  [0.86% Coverage]</w:t>
      </w:r>
    </w:p>
    <w:p w14:paraId="000001C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C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1 - 0.01% Coverage</w:t>
      </w:r>
    </w:p>
    <w:p w14:paraId="000001C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C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1. Few shelters and safe-houses have been established which cannot meet the demand. </w:t>
      </w:r>
    </w:p>
    <w:p w14:paraId="000001C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C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2 - 0.01% Coverage</w:t>
      </w:r>
    </w:p>
    <w:p w14:paraId="000001C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D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lastRenderedPageBreak/>
        <w:t>8. Limited rehabilitation and reintegration programmes targeting GBV perpetrators.</w:t>
      </w:r>
    </w:p>
    <w:p w14:paraId="000001D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D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3 - 0.01% Coverage</w:t>
      </w:r>
    </w:p>
    <w:p w14:paraId="000001D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D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18. Lack of comprehensive prevention mechanisms.</w:t>
      </w:r>
    </w:p>
    <w:p w14:paraId="000001D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D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4 - 0.04% Coverage</w:t>
      </w:r>
    </w:p>
    <w:p w14:paraId="000001D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D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Weak reporting and referral mechanisms in schools, such as lac</w:t>
      </w:r>
      <w:r>
        <w:rPr>
          <w:rFonts w:ascii="Calibri" w:eastAsia="Calibri" w:hAnsi="Calibri" w:cs="Calibri"/>
          <w:color w:val="000000"/>
          <w:sz w:val="22"/>
          <w:szCs w:val="22"/>
        </w:rPr>
        <w:t>k of referral directories, standardized referral forms, and child-friendly procedures.</w:t>
      </w:r>
    </w:p>
    <w:p w14:paraId="000001D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D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5 - 0.02% Coverage</w:t>
      </w:r>
    </w:p>
    <w:p w14:paraId="000001D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D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“Fear of reprisal discourages children from reporting violence</w:t>
      </w:r>
    </w:p>
    <w:p w14:paraId="000001D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D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6 - 0.01% Coverage</w:t>
      </w:r>
    </w:p>
    <w:p w14:paraId="000001D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E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1. Few shelters and safe houses, unable to meet demand</w:t>
      </w:r>
    </w:p>
    <w:p w14:paraId="000001E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E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7 - 0.02% Coverage</w:t>
      </w:r>
    </w:p>
    <w:p w14:paraId="000001E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E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7. Limited rehabilitation and reintegration programmes for perpetrators and survivors</w:t>
      </w:r>
    </w:p>
    <w:p w14:paraId="000001E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E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8 - 0.04% Coverage</w:t>
      </w:r>
    </w:p>
    <w:p w14:paraId="000001E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E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Social norms that tolerate violence, shame victims,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and silence reporting.</w:t>
      </w:r>
    </w:p>
    <w:p w14:paraId="000001E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E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9 - 0.03% Coverage</w:t>
      </w:r>
    </w:p>
    <w:p w14:paraId="000001E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E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Stigma and fear of retaliation preventing survivors from reporting abuse.</w:t>
      </w:r>
    </w:p>
    <w:p w14:paraId="000001E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E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10 - 0.03% Coverage</w:t>
      </w:r>
    </w:p>
    <w:p w14:paraId="000001E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F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reporting due to stigma, fear, and normalization of violence.</w:t>
      </w:r>
    </w:p>
    <w:p w14:paraId="000001F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F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11 - 0.03%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 xml:space="preserve"> Coverage</w:t>
      </w:r>
    </w:p>
    <w:p w14:paraId="000001F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F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referral mechanisms and data-sharing systems.</w:t>
      </w:r>
    </w:p>
    <w:p w14:paraId="000001F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F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12 - 0.03% Coverage</w:t>
      </w:r>
    </w:p>
    <w:p w14:paraId="000001F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F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Inconsistent reporting and limited awareness of support mechanisms.</w:t>
      </w:r>
    </w:p>
    <w:p w14:paraId="000001F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F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13 - 0.03% Coverage</w:t>
      </w:r>
    </w:p>
    <w:p w14:paraId="000001F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1F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It notes that despite fear of lodging complaints, there is limited existing reporting among students</w:t>
      </w:r>
    </w:p>
    <w:p w14:paraId="000001F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1F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14 - 0.12% Coverage</w:t>
      </w:r>
    </w:p>
    <w:p w14:paraId="000001F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0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It highlights lack of trust and fear among students of consequences from harassers with power.</w:t>
      </w:r>
    </w:p>
    <w:p w14:paraId="0000020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• Some schools have init</w:t>
      </w:r>
      <w:r>
        <w:rPr>
          <w:rFonts w:ascii="Calibri" w:eastAsia="Calibri" w:hAnsi="Calibri" w:cs="Calibri"/>
          <w:color w:val="000000"/>
          <w:sz w:val="22"/>
          <w:szCs w:val="22"/>
        </w:rPr>
        <w:t>ial informal policies or student sensitization but these are inconsistent.</w:t>
      </w:r>
    </w:p>
    <w:p w14:paraId="0000020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• It reports that in selected counties, sampled students and schools have varied exposure to SRGBV policies; online harassment is a relatively newer challenge.</w:t>
      </w:r>
    </w:p>
    <w:p w14:paraId="0000020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0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15 - 0.03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% Coverage</w:t>
      </w:r>
    </w:p>
    <w:p w14:paraId="0000020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0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Fear of retaliation or retribution among students who might report incidents.</w:t>
      </w:r>
    </w:p>
    <w:p w14:paraId="0000020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0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16 - 0.03% Coverage</w:t>
      </w:r>
    </w:p>
    <w:p w14:paraId="0000020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0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Harassers having power over students (authority, status) deters complaints.</w:t>
      </w:r>
    </w:p>
    <w:p w14:paraId="0000020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0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17 - 0.01% Coverage</w:t>
      </w:r>
    </w:p>
    <w:p w14:paraId="0000020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0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In some counties, low reporting</w:t>
      </w:r>
    </w:p>
    <w:p w14:paraId="0000020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1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18 - 0.04% Coverage</w:t>
      </w:r>
    </w:p>
    <w:p w14:paraId="0000021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1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Underreporting due to fear, stigma, and mistrust in authorities.</w:t>
      </w:r>
    </w:p>
    <w:p w14:paraId="0000021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1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19 - 0.05% Coverage</w:t>
      </w:r>
    </w:p>
    <w:p w14:paraId="0000021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1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Underreporting of abuse due to fear, stigma, or lack of trust in authorities.</w:t>
      </w:r>
    </w:p>
    <w:p w14:paraId="0000021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1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0 - 0.02% Coverage</w:t>
      </w:r>
    </w:p>
    <w:p w14:paraId="0000021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1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Underreporting due to stigma or fear.</w:t>
      </w:r>
    </w:p>
    <w:p w14:paraId="0000021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1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21 - 0.03% Coverage</w:t>
      </w:r>
    </w:p>
    <w:p w14:paraId="0000021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1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access to adolescent-friendly health services.</w:t>
      </w:r>
    </w:p>
    <w:p w14:paraId="0000021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2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22 - 0.04% Coverage</w:t>
      </w:r>
    </w:p>
    <w:p w14:paraId="0000022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2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Restrictive abortion laws and inconsistent contraceptive availability.</w:t>
      </w:r>
    </w:p>
    <w:p w14:paraId="0000022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2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23 - 0.04% Coverage</w:t>
      </w:r>
    </w:p>
    <w:p w14:paraId="0000022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2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Weak reporting and accountability structures within schools.</w:t>
      </w:r>
    </w:p>
    <w:p w14:paraId="0000022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2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24 - 0.03% Coverage</w:t>
      </w:r>
    </w:p>
    <w:p w14:paraId="0000022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2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Culture of silence and reluctance to report.</w:t>
      </w:r>
    </w:p>
    <w:p w14:paraId="0000022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2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25 - 0.01% Coverage</w:t>
      </w:r>
    </w:p>
    <w:p w14:paraId="0000022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2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Underreporting of SRGBV cases   </w:t>
      </w:r>
    </w:p>
    <w:p w14:paraId="0000022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3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26 - 0.03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% Coverage</w:t>
      </w:r>
    </w:p>
    <w:p w14:paraId="0000023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3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Culture of silence / stigma that prevents reporting.</w:t>
      </w:r>
    </w:p>
    <w:p w14:paraId="0000023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3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27 - 0.02% Coverage</w:t>
      </w:r>
    </w:p>
    <w:p w14:paraId="0000023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3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Fear of reprisal from perpetrators.</w:t>
      </w:r>
    </w:p>
    <w:p w14:paraId="0000023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3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28 - 0.04% Coverage</w:t>
      </w:r>
    </w:p>
    <w:p w14:paraId="0000023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3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Underreporting and low follow-through by official systems (few cases end in prosecution).</w:t>
      </w:r>
    </w:p>
    <w:p w14:paraId="0000023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3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Quattrocento Sans" w:eastAsia="Quattrocento Sans" w:hAnsi="Quattrocento Sans" w:cs="Quattrocento Sans"/>
          <w:color w:val="000000"/>
          <w:sz w:val="28"/>
          <w:szCs w:val="28"/>
          <w:highlight w:val="yellow"/>
        </w:rPr>
        <w:t>Theme 9: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Improper implementation or enforcement of existing laws or guidelines or policies</w:t>
      </w:r>
    </w:p>
    <w:p w14:paraId="0000023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3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40 references coded  [1.79% Coverage]</w:t>
      </w:r>
    </w:p>
    <w:p w14:paraId="0000023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4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1 - 0.01% Coverage</w:t>
      </w:r>
    </w:p>
    <w:p w14:paraId="0000024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4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12. The legal dilemma of how to address the issue of sex between minors.</w:t>
      </w:r>
    </w:p>
    <w:p w14:paraId="0000024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4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2 - 0.03% Coverage</w:t>
      </w:r>
    </w:p>
    <w:p w14:paraId="0000024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4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“Limited awareness and dissemination of existing child protection guidelines and re-entry policies.”</w:t>
      </w:r>
    </w:p>
    <w:p w14:paraId="0000024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4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3 - 0.02% Coverage</w:t>
      </w:r>
    </w:p>
    <w:p w14:paraId="0000024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4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4. Inadequate enforcement of legislation to curb GBV due to weak frameworks</w:t>
      </w:r>
    </w:p>
    <w:p w14:paraId="0000024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4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4 - 0.02% Coverage</w:t>
      </w:r>
    </w:p>
    <w:p w14:paraId="0000024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4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Inconsistent enforcement of safety standards across counties and schools </w:t>
      </w:r>
    </w:p>
    <w:p w14:paraId="0000024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5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5 - 0.12% Coverage</w:t>
      </w:r>
    </w:p>
    <w:p w14:paraId="0000025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5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The Act outlines frameworks but leaves enforcement and implementation to multiple ministries,  potential gaps without coordination.</w:t>
      </w:r>
    </w:p>
    <w:p w14:paraId="0000025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5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6 - 0.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03% Coverage</w:t>
      </w:r>
    </w:p>
    <w:p w14:paraId="0000025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5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enforcement of laws and teacher codes of conduct.</w:t>
      </w:r>
    </w:p>
    <w:p w14:paraId="0000025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5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7 - 0.03% Coverage</w:t>
      </w:r>
    </w:p>
    <w:p w14:paraId="0000025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5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Inconsistent enforcement of child protection laws.</w:t>
      </w:r>
    </w:p>
    <w:p w14:paraId="0000025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5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8 - 0.03% Coverage</w:t>
      </w:r>
    </w:p>
    <w:p w14:paraId="0000025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5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Lack of SRGBV-specific national policy and clear implementation guidelines.</w:t>
      </w:r>
    </w:p>
    <w:p w14:paraId="0000025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6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9 - 0.06% Coverage</w:t>
      </w:r>
    </w:p>
    <w:p w14:paraId="0000026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6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availability and accessibility of GBV guidelines in schools (less than 20% of primary and 26% of secondary school heads had copies).</w:t>
      </w:r>
    </w:p>
    <w:p w14:paraId="0000026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6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erence 10 - 0.05% Coverage</w:t>
      </w:r>
    </w:p>
    <w:p w14:paraId="0000026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6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As a summary, it lacks detailed actionable strategies, making it less directly operational</w:t>
      </w:r>
    </w:p>
    <w:p w14:paraId="0000026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6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11 - 0.01% Coverage</w:t>
      </w:r>
    </w:p>
    <w:p w14:paraId="0000026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6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weak enforcement of any policies.</w:t>
      </w:r>
    </w:p>
    <w:p w14:paraId="0000026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6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12 - 0.03% Coverage</w:t>
      </w:r>
    </w:p>
    <w:p w14:paraId="0000026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6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Lack of robust school policy or national instrument specific to SRGBV in primary schools.</w:t>
      </w:r>
    </w:p>
    <w:p w14:paraId="0000026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7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13 - 0.03% Coverage</w:t>
      </w:r>
    </w:p>
    <w:p w14:paraId="0000027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7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Awareness-raising is necessary but not sufficient; policies and practices may lag behind</w:t>
      </w:r>
    </w:p>
    <w:p w14:paraId="0000027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7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14 - 0.04% Coverage</w:t>
      </w:r>
    </w:p>
    <w:p w14:paraId="0000027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7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awareness and dissemination of the earlier (2007) policy.</w:t>
      </w:r>
    </w:p>
    <w:p w14:paraId="0000027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7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15 - 0.03% Coverage</w:t>
      </w:r>
    </w:p>
    <w:p w14:paraId="0000027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7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Weak enforcement of child protection laws.</w:t>
      </w:r>
    </w:p>
    <w:p w14:paraId="0000027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7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16 - 0.04% Coverage</w:t>
      </w:r>
    </w:p>
    <w:p w14:paraId="0000027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7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Slow government response to policy enactment and enforcement.</w:t>
      </w:r>
    </w:p>
    <w:p w14:paraId="0000027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8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 xml:space="preserve"> 0.04% Coverage</w:t>
      </w:r>
    </w:p>
    <w:p w14:paraId="0000028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8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Weak enforcement of policies at school and county levels.</w:t>
      </w:r>
    </w:p>
    <w:p w14:paraId="0000028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8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18 - 0.06% Coverage</w:t>
      </w:r>
    </w:p>
    <w:p w14:paraId="0000028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8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The blog highlights Kenya as a leading example with clear re-entry guidelines and SGBV reporting procedures, but with ongoing challenges in imple</w:t>
      </w:r>
      <w:r>
        <w:rPr>
          <w:rFonts w:ascii="Calibri" w:eastAsia="Calibri" w:hAnsi="Calibri" w:cs="Calibri"/>
          <w:color w:val="000000"/>
          <w:sz w:val="22"/>
          <w:szCs w:val="22"/>
        </w:rPr>
        <w:t>mentation.</w:t>
      </w:r>
    </w:p>
    <w:p w14:paraId="0000028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8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19 - 0.04% Coverage</w:t>
      </w:r>
    </w:p>
    <w:p w14:paraId="0000028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8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Emphasizes that both re-entry and SRGBV prevention require systemic change, not isolated programs.</w:t>
      </w:r>
    </w:p>
    <w:p w14:paraId="0000028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8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20 - 0.03% Coverage</w:t>
      </w:r>
    </w:p>
    <w:p w14:paraId="0000028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8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Corruption and lack of accountability among authorities.</w:t>
      </w:r>
    </w:p>
    <w:p w14:paraId="0000028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9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21 - 0.03% Coverage</w:t>
      </w:r>
    </w:p>
    <w:p w14:paraId="0000029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9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Bureaucracy and slow institutional follow-up on reported cases.</w:t>
      </w:r>
    </w:p>
    <w:p w14:paraId="0000029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9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22 - 0.04% Coverage</w:t>
      </w:r>
    </w:p>
    <w:p w14:paraId="0000029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9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Lack of consistent policy enforcement against SRGBV.</w:t>
      </w:r>
    </w:p>
    <w:p w14:paraId="0000029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9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23 - 0.04% Coverage</w:t>
      </w:r>
    </w:p>
    <w:p w14:paraId="0000029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9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• Lack of legislation or enforcement on </w:t>
      </w:r>
      <w:r>
        <w:rPr>
          <w:rFonts w:ascii="Calibri" w:eastAsia="Calibri" w:hAnsi="Calibri" w:cs="Calibri"/>
          <w:color w:val="000000"/>
          <w:sz w:val="22"/>
          <w:szCs w:val="22"/>
        </w:rPr>
        <w:t>violence prevention.</w:t>
      </w:r>
    </w:p>
    <w:p w14:paraId="0000029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9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24 - 0.03% Coverage</w:t>
      </w:r>
    </w:p>
    <w:p w14:paraId="0000029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9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or absent enforcement of school codes of conduct.</w:t>
      </w:r>
    </w:p>
    <w:p w14:paraId="0000029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A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25 - 0.04% Coverage</w:t>
      </w:r>
    </w:p>
    <w:p w14:paraId="000002A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A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Weak enforcement of gender and education policies.</w:t>
      </w:r>
    </w:p>
    <w:p w14:paraId="000002A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A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26 - 0.03% Coverage</w:t>
      </w:r>
    </w:p>
    <w:p w14:paraId="000002A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A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Weak policy implementation and coordination.</w:t>
      </w:r>
    </w:p>
    <w:p w14:paraId="000002A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A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27 - 0.05% Coverage</w:t>
      </w:r>
    </w:p>
    <w:p w14:paraId="000002A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A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Inconsistent implementation of gender and SRHR policies at school level.</w:t>
      </w:r>
    </w:p>
    <w:p w14:paraId="000002A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A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28 - 0.04% Coverage</w:t>
      </w:r>
    </w:p>
    <w:p w14:paraId="000002A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A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Limited policy dissemination and capacity gaps at county level.</w:t>
      </w:r>
    </w:p>
    <w:p w14:paraId="000002A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B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29 - 0.03% Coverage</w:t>
      </w:r>
    </w:p>
    <w:p w14:paraId="000002B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B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Pending approval of the revised GBV Policy (2014).</w:t>
      </w:r>
    </w:p>
    <w:p w14:paraId="000002B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B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30 - 0.02% Coverage</w:t>
      </w:r>
    </w:p>
    <w:p w14:paraId="000002B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B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Weak enforcement of some existing laws.</w:t>
      </w:r>
    </w:p>
    <w:p w14:paraId="000002B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B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31 - 0.19% Coverage</w:t>
      </w:r>
    </w:p>
    <w:p w14:paraId="000002B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B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The paper highlights that although Kenya has strong legal frameworks to protect children, enforcement is weak. GBV remains prevalent and underreported, requiring urgent policy attention, community awareness, and school-based interventions to ensure safe le</w:t>
      </w:r>
      <w:r>
        <w:rPr>
          <w:rFonts w:ascii="Calibri" w:eastAsia="Calibri" w:hAnsi="Calibri" w:cs="Calibri"/>
          <w:color w:val="000000"/>
          <w:sz w:val="22"/>
          <w:szCs w:val="22"/>
        </w:rPr>
        <w:t>arning environments.</w:t>
      </w:r>
    </w:p>
    <w:p w14:paraId="000002B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B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32 - 0.04% Coverage</w:t>
      </w:r>
    </w:p>
    <w:p w14:paraId="000002B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B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Weak enforcement of laws and policies, especially at local level.</w:t>
      </w:r>
    </w:p>
    <w:p w14:paraId="000002B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C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33 - 0.04% Coverage</w:t>
      </w:r>
    </w:p>
    <w:p w14:paraId="000002C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C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Inconsistent enforcement of disciplinary measures.</w:t>
      </w:r>
    </w:p>
    <w:p w14:paraId="000002C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C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34 - 0.05% Coverage</w:t>
      </w:r>
    </w:p>
    <w:p w14:paraId="000002C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C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 Lack of clear p</w:t>
      </w:r>
      <w:r>
        <w:rPr>
          <w:rFonts w:ascii="Calibri" w:eastAsia="Calibri" w:hAnsi="Calibri" w:cs="Calibri"/>
          <w:color w:val="000000"/>
          <w:sz w:val="22"/>
          <w:szCs w:val="22"/>
        </w:rPr>
        <w:t>olicy framework that defines, prohibits, and carries penalties for acts of school-related gender-based violence.</w:t>
      </w:r>
    </w:p>
    <w:p w14:paraId="000002C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C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35 - 0.05% Coverage</w:t>
      </w:r>
    </w:p>
    <w:p w14:paraId="000002C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C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Inconsistent enforcement of laws</w:t>
      </w:r>
    </w:p>
    <w:p w14:paraId="000002C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C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36 - 0.02% Coverage</w:t>
      </w:r>
    </w:p>
    <w:p w14:paraId="000002C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C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lack of school level SRGV policies despite existence at a national level.  </w:t>
      </w:r>
    </w:p>
    <w:p w14:paraId="000002C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D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37 - 0.06% Coverage</w:t>
      </w:r>
    </w:p>
    <w:p w14:paraId="000002D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D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Limited coverage / weak application of existing law to school contexts (act not always applied to teacher-perpetrated offences)</w:t>
      </w:r>
    </w:p>
    <w:p w14:paraId="000002D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D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38 - 0.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19% Coverage</w:t>
      </w:r>
    </w:p>
    <w:p w14:paraId="000002D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D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SHV is frequent in and around school for girls in the two slum schools studied, and persists despite the 2006 Sexual Offences Act. The authors call for active re-engagement of stakeholders to implement existing laws, strengthen school counsel</w:t>
      </w:r>
      <w:r>
        <w:rPr>
          <w:rFonts w:ascii="Calibri" w:eastAsia="Calibri" w:hAnsi="Calibri" w:cs="Calibri"/>
          <w:color w:val="000000"/>
          <w:sz w:val="22"/>
          <w:szCs w:val="22"/>
        </w:rPr>
        <w:t>ing and SRE, and test community safety measures; they also recommend further research (larger samples and investigations of teacher-perpetrated SHV).</w:t>
      </w:r>
    </w:p>
    <w:p w14:paraId="000002D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D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39 - 0.03% Coverage</w:t>
      </w:r>
    </w:p>
    <w:p w14:paraId="000002D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D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- Weak implementation of existing laws and policies.   </w:t>
      </w:r>
    </w:p>
    <w:p w14:paraId="000002D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D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40 - 0.05% Coverage</w:t>
      </w:r>
    </w:p>
    <w:p w14:paraId="000002D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D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- Lack of official legislation to enforce the proposed policies and programs.</w:t>
      </w:r>
    </w:p>
    <w:p w14:paraId="000002D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E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E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8"/>
          <w:szCs w:val="28"/>
          <w:highlight w:val="yellow"/>
        </w:rPr>
      </w:pPr>
      <w:r>
        <w:rPr>
          <w:rFonts w:ascii="Quattrocento Sans" w:eastAsia="Quattrocento Sans" w:hAnsi="Quattrocento Sans" w:cs="Quattrocento Sans"/>
          <w:color w:val="000000"/>
          <w:sz w:val="28"/>
          <w:szCs w:val="28"/>
          <w:highlight w:val="yellow"/>
        </w:rPr>
        <w:t>Theme 10</w:t>
      </w:r>
      <w:r>
        <w:rPr>
          <w:rFonts w:ascii="Calibri" w:eastAsia="Calibri" w:hAnsi="Calibri" w:cs="Calibri"/>
          <w:b/>
          <w:bCs/>
          <w:color w:val="000000"/>
          <w:sz w:val="28"/>
          <w:szCs w:val="28"/>
          <w:highlight w:val="yellow"/>
        </w:rPr>
        <w:t xml:space="preserve">: </w:t>
      </w:r>
      <w:r>
        <w:rPr>
          <w:rFonts w:ascii="Calibri" w:eastAsia="Calibri" w:hAnsi="Calibri" w:cs="Calibri"/>
          <w:color w:val="000000"/>
          <w:sz w:val="28"/>
          <w:szCs w:val="28"/>
          <w:highlight w:val="yellow"/>
        </w:rPr>
        <w:t>Harmful Socio-Cultural Norms and Attitudes</w:t>
      </w:r>
    </w:p>
    <w:p w14:paraId="000002E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b/>
          <w:bCs/>
          <w:color w:val="000000"/>
          <w:sz w:val="22"/>
          <w:szCs w:val="22"/>
          <w:shd w:val="clear" w:color="auto" w:fill="D3D3D3"/>
        </w:rPr>
      </w:pPr>
    </w:p>
    <w:p w14:paraId="000002E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&lt;Files\\SRGBV Policy Review BEFORE CODING (2)&gt; - § 37 references coded  [1.57% Coverage]</w:t>
      </w:r>
    </w:p>
    <w:p w14:paraId="000002E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E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1 - 0.01% Coverage</w:t>
      </w:r>
    </w:p>
    <w:p w14:paraId="000002E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E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9. Misconception that GBV unduly focuses on girls and women at the expense of men and boys. </w:t>
      </w:r>
    </w:p>
    <w:p w14:paraId="000002E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E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2 - 0.01% Coverage</w:t>
      </w:r>
    </w:p>
    <w:p w14:paraId="000002E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E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13. Limited male involvement in GBV prevention and response initiatives. </w:t>
      </w:r>
    </w:p>
    <w:p w14:paraId="000002E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E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3 - 0.04% Coverage</w:t>
      </w:r>
    </w:p>
    <w:p w14:paraId="000002E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E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“Cultural acceptance of violence such as corporal punishment and bullying, which are still viewed by some as normal discipline.”</w:t>
      </w:r>
    </w:p>
    <w:p w14:paraId="000002F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F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4 - 0.02% Coverage</w:t>
      </w:r>
    </w:p>
    <w:p w14:paraId="000002F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F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8. Misconception that GBV only affects women/girls, leading to limited male involvement</w:t>
      </w:r>
    </w:p>
    <w:p w14:paraId="000002F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F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5 - 0.04% Coverage</w:t>
      </w:r>
    </w:p>
    <w:p w14:paraId="000002F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F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Cultural practices and attitudes that tolerate corporal punishment, child labour, or early marriage, undermining safety initiatives .</w:t>
      </w:r>
    </w:p>
    <w:p w14:paraId="000002F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F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</w:t>
      </w: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ference 6 - 0.05% Coverage</w:t>
      </w:r>
    </w:p>
    <w:p w14:paraId="000002F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F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Learners face stigmatization, discrimination, and lack of acceptance when re-entering school, especially girls after pregnancy.</w:t>
      </w:r>
    </w:p>
    <w:p w14:paraId="000002F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2F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7 - 0.07% Coverage</w:t>
      </w:r>
    </w:p>
    <w:p w14:paraId="000002F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2F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School environments may be hostile or unsupportive, creating obstacle</w:t>
      </w:r>
      <w:r>
        <w:rPr>
          <w:rFonts w:ascii="Calibri" w:eastAsia="Calibri" w:hAnsi="Calibri" w:cs="Calibri"/>
          <w:color w:val="000000"/>
          <w:sz w:val="22"/>
          <w:szCs w:val="22"/>
        </w:rPr>
        <w:t>s to retention.</w:t>
      </w:r>
    </w:p>
    <w:p w14:paraId="0000030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0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Limited awareness and sensitization at community and institutional levels affects proper uptake.</w:t>
      </w:r>
    </w:p>
    <w:p w14:paraId="0000030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0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8 - 0.04% Coverage</w:t>
      </w:r>
    </w:p>
    <w:p w14:paraId="0000030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0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Harmful cultural practices and negative attitudes in some communities hinder re-entry despite the policy framew</w:t>
      </w:r>
      <w:r>
        <w:rPr>
          <w:rFonts w:ascii="Calibri" w:eastAsia="Calibri" w:hAnsi="Calibri" w:cs="Calibri"/>
          <w:color w:val="000000"/>
          <w:sz w:val="22"/>
          <w:szCs w:val="22"/>
        </w:rPr>
        <w:t>ork.</w:t>
      </w:r>
    </w:p>
    <w:p w14:paraId="0000030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0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9 - 0.03% Coverage</w:t>
      </w:r>
    </w:p>
    <w:p w14:paraId="0000030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0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Persistent harmful social norms and cultural practices.</w:t>
      </w:r>
    </w:p>
    <w:p w14:paraId="0000030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0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10 - 0.04% Coverage</w:t>
      </w:r>
    </w:p>
    <w:p w14:paraId="0000030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0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Cultural norms tolerating physical discipline and gender discrimination.</w:t>
      </w:r>
    </w:p>
    <w:p w14:paraId="0000030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0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11 - 0.04% Coverage</w:t>
      </w:r>
    </w:p>
    <w:p w14:paraId="0000031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1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Lack of awareness among students, parents, teachers about digital harassment and associated risks.</w:t>
      </w:r>
    </w:p>
    <w:p w14:paraId="0000031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1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12 - 0.03% Coverage</w:t>
      </w:r>
    </w:p>
    <w:p w14:paraId="0000031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1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Persistent socio-cultural norms and stereotypes</w:t>
      </w:r>
    </w:p>
    <w:p w14:paraId="0000031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1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13 - 0.03% Coverage</w:t>
      </w:r>
    </w:p>
    <w:p w14:paraId="0000031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1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Cultural practices (e.g., child marriag</w:t>
      </w:r>
      <w:r>
        <w:rPr>
          <w:rFonts w:ascii="Calibri" w:eastAsia="Calibri" w:hAnsi="Calibri" w:cs="Calibri"/>
          <w:color w:val="000000"/>
          <w:sz w:val="22"/>
          <w:szCs w:val="22"/>
        </w:rPr>
        <w:t>e, FGM)</w:t>
      </w:r>
    </w:p>
    <w:p w14:paraId="0000031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1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14 - 0.04% Coverage</w:t>
      </w:r>
    </w:p>
    <w:p w14:paraId="0000031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1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Deep-rooted cultural practices and normalization of violence.</w:t>
      </w:r>
    </w:p>
    <w:p w14:paraId="0000031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1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15 - 0.05% Coverage</w:t>
      </w:r>
    </w:p>
    <w:p w14:paraId="0000032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2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Resistance from some religious or community leaders to openly discuss sexual abuse.</w:t>
      </w:r>
    </w:p>
    <w:p w14:paraId="0000032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2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16 - 0.04% Coverage</w:t>
      </w:r>
    </w:p>
    <w:p w14:paraId="0000032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2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Harmful cultural norms, poverty, and stigma affecting girls’ education</w:t>
      </w:r>
    </w:p>
    <w:p w14:paraId="0000032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2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17 - 0.04% Coverage</w:t>
      </w:r>
    </w:p>
    <w:p w14:paraId="0000032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2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Persistent stigma and discrimination toward pregnant girls.</w:t>
      </w:r>
    </w:p>
    <w:p w14:paraId="0000032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2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18 - 0.04% Coverage</w:t>
      </w:r>
    </w:p>
    <w:p w14:paraId="0000032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2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Cultural resistance and limited resources for implementa</w:t>
      </w:r>
      <w:r>
        <w:rPr>
          <w:rFonts w:ascii="Calibri" w:eastAsia="Calibri" w:hAnsi="Calibri" w:cs="Calibri"/>
          <w:color w:val="000000"/>
          <w:sz w:val="22"/>
          <w:szCs w:val="22"/>
        </w:rPr>
        <w:t>tion.</w:t>
      </w:r>
    </w:p>
    <w:p w14:paraId="0000032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2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19 - 0.04% Coverage</w:t>
      </w:r>
    </w:p>
    <w:p w14:paraId="0000033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3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Effective uptake depends on school leadership, teacher attitudes, and community engagement</w:t>
      </w:r>
    </w:p>
    <w:p w14:paraId="0000033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3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20 - 0.04% Coverage</w:t>
      </w:r>
    </w:p>
    <w:p w14:paraId="0000033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3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Cultural norms supporting FGM, early marriage, and silence around GBV.</w:t>
      </w:r>
    </w:p>
    <w:p w14:paraId="0000033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3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21 - 0.02% Coverage</w:t>
      </w:r>
    </w:p>
    <w:p w14:paraId="0000033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3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Stigma, victim-blaming, and fear among survivors</w:t>
      </w:r>
    </w:p>
    <w:p w14:paraId="0000033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3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22 - 0.03% Coverage</w:t>
      </w:r>
    </w:p>
    <w:p w14:paraId="0000033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3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Entrenched cultural norms and gender stereotypes</w:t>
      </w:r>
    </w:p>
    <w:p w14:paraId="0000033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3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23 - 0.04% Coverage</w:t>
      </w:r>
    </w:p>
    <w:p w14:paraId="0000034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4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Inadequate parental engagement in reinforcing positive no</w:t>
      </w:r>
      <w:r>
        <w:rPr>
          <w:rFonts w:ascii="Calibri" w:eastAsia="Calibri" w:hAnsi="Calibri" w:cs="Calibri"/>
          <w:color w:val="000000"/>
          <w:sz w:val="22"/>
          <w:szCs w:val="22"/>
        </w:rPr>
        <w:t>rms.</w:t>
      </w:r>
    </w:p>
    <w:p w14:paraId="0000034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4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24 - 0.05% Coverage</w:t>
      </w:r>
    </w:p>
    <w:p w14:paraId="0000034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4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Social and cultural norms discouraging reporting or discussion of gender/violence</w:t>
      </w:r>
    </w:p>
    <w:p w14:paraId="00000346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47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25 - 0.03% Coverage</w:t>
      </w:r>
    </w:p>
    <w:p w14:paraId="00000348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49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Persistent patriarchal and discriminatory norms.</w:t>
      </w:r>
    </w:p>
    <w:p w14:paraId="0000034A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4B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26 - 0.04% Coverage</w:t>
      </w:r>
    </w:p>
    <w:p w14:paraId="0000034C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4D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Resistance to discussing gender and sexuality in conservative contexts.</w:t>
      </w:r>
    </w:p>
    <w:p w14:paraId="0000034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4F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27 - 0.05% Coverage</w:t>
      </w:r>
    </w:p>
    <w:p w14:paraId="00000350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51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• Persistent harmful cultural norms (FGM, child marriage, beading).</w:t>
      </w:r>
    </w:p>
    <w:p w14:paraId="00000352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53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28 - 0.05% Coverage</w:t>
      </w:r>
    </w:p>
    <w:p w14:paraId="00000354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55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Low awareness among local actors.</w:t>
      </w:r>
    </w:p>
    <w:p w14:paraId="0000035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Stigma and cultural taboos around SRH education.</w:t>
      </w:r>
    </w:p>
    <w:p w14:paraId="0000035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5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29 - 0.03% Coverage</w:t>
      </w:r>
    </w:p>
    <w:p w14:paraId="0000035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5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Cultural taboos and resistance to SRHR discussions.</w:t>
      </w:r>
    </w:p>
    <w:p w14:paraId="0000035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5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30 - 0.04% Coverage</w:t>
      </w:r>
    </w:p>
    <w:p w14:paraId="0000035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5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Persistent cultural and social norms hindering survivor reporting.</w:t>
      </w:r>
    </w:p>
    <w:p w14:paraId="0000035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6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31 - 0.11% Coverage</w:t>
      </w:r>
    </w:p>
    <w:p w14:paraId="0000036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6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Culture of silence and fear of reprisals deters reporting of violence.</w:t>
      </w:r>
    </w:p>
    <w:p w14:paraId="0000036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6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Authoritarian school culture limits pupils’ ability to question teacher misconduct.</w:t>
      </w:r>
    </w:p>
    <w:p w14:paraId="0000036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6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32 - 0.03% Coverage</w:t>
      </w:r>
    </w:p>
    <w:p w14:paraId="0000036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6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Poverty and gender norms increase v</w:t>
      </w:r>
      <w:r>
        <w:rPr>
          <w:rFonts w:ascii="Calibri" w:eastAsia="Calibri" w:hAnsi="Calibri" w:cs="Calibri"/>
          <w:color w:val="000000"/>
          <w:sz w:val="22"/>
          <w:szCs w:val="22"/>
        </w:rPr>
        <w:t>ulnerability.</w:t>
      </w:r>
    </w:p>
    <w:p w14:paraId="0000036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6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33 - 0.06% Coverage</w:t>
      </w:r>
    </w:p>
    <w:p w14:paraId="0000036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6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– Deeply rooted gender norms, taboos around sexuality, and community resistance to discussing teenage relationships.</w:t>
      </w:r>
    </w:p>
    <w:p w14:paraId="0000036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6E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34 - 0.03% Coverage</w:t>
      </w:r>
    </w:p>
    <w:p w14:paraId="0000036F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70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Contested nature of the provision of sexuality education in schools.</w:t>
      </w:r>
    </w:p>
    <w:p w14:paraId="00000371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72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35 - 0.14% Coverage</w:t>
      </w:r>
    </w:p>
    <w:p w14:paraId="00000373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74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- Deeply ingrained beliefs and normative environments that normalise corporal punishment.</w:t>
      </w:r>
    </w:p>
    <w:p w14:paraId="00000375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76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36 - 0.02% Coverage</w:t>
      </w:r>
    </w:p>
    <w:p w14:paraId="00000377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78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- cultural beliefs that support violence and gender inequality</w:t>
      </w:r>
    </w:p>
    <w:p w14:paraId="00000379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7A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  <w:r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  <w:t>Reference 37 - 0.06% Coverage</w:t>
      </w:r>
    </w:p>
    <w:p w14:paraId="0000037B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  <w:shd w:val="clear" w:color="auto" w:fill="D3D3D3"/>
        </w:rPr>
      </w:pPr>
    </w:p>
    <w:p w14:paraId="0000037C" w14:textId="77777777" w:rsidR="00380A95" w:rsidRDefault="00B63567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        - Local enactment of national policies protecting girls from violence is barred by community issues like understandings about childhood, discipline and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innocence, chaste femininities, family shame and community cohesion above individual rights.</w:t>
      </w:r>
    </w:p>
    <w:p w14:paraId="0000037D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Calibri" w:eastAsia="Calibri" w:hAnsi="Calibri" w:cs="Calibri"/>
          <w:color w:val="000000"/>
          <w:sz w:val="22"/>
          <w:szCs w:val="22"/>
        </w:rPr>
      </w:pPr>
    </w:p>
    <w:p w14:paraId="0000037E" w14:textId="77777777" w:rsidR="00380A95" w:rsidRDefault="00380A95">
      <w:pPr>
        <w:pBdr>
          <w:top w:val="nil"/>
          <w:left w:val="nil"/>
          <w:bottom w:val="nil"/>
          <w:right w:val="nil"/>
          <w:between w:val="nil"/>
        </w:pBdr>
        <w:tabs>
          <w:tab w:val="left" w:pos="1134"/>
          <w:tab w:val="left" w:pos="2268"/>
          <w:tab w:val="left" w:pos="3402"/>
          <w:tab w:val="left" w:pos="4536"/>
          <w:tab w:val="left" w:pos="5670"/>
          <w:tab w:val="left" w:pos="6804"/>
          <w:tab w:val="left" w:pos="7938"/>
          <w:tab w:val="left" w:pos="9072"/>
          <w:tab w:val="left" w:pos="10206"/>
          <w:tab w:val="left" w:pos="11340"/>
          <w:tab w:val="left" w:pos="12474"/>
          <w:tab w:val="left" w:pos="13608"/>
          <w:tab w:val="left" w:pos="14742"/>
          <w:tab w:val="left" w:pos="15876"/>
        </w:tabs>
        <w:spacing w:after="0" w:line="240" w:lineRule="auto"/>
        <w:rPr>
          <w:rFonts w:ascii="Quattrocento Sans" w:eastAsia="Quattrocento Sans" w:hAnsi="Quattrocento Sans" w:cs="Quattrocento Sans"/>
          <w:color w:val="000000"/>
          <w:sz w:val="20"/>
          <w:szCs w:val="20"/>
        </w:rPr>
      </w:pPr>
    </w:p>
    <w:sectPr w:rsidR="00380A95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" w:fontKey="{6BD4DC24-D023-4067-8F32-D1EEBC9C446D}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E85A78ED-3F03-4687-8158-CDCBACB85F1B}"/>
    <w:embedBold r:id="rId3" w:fontKey="{90236680-998A-4ADB-B88A-BE1996A0EBFB}"/>
  </w:font>
  <w:font w:name="Quattrocento Sans">
    <w:charset w:val="00"/>
    <w:family w:val="auto"/>
    <w:pitch w:val="default"/>
    <w:embedRegular r:id="rId4" w:fontKey="{8C7A6887-24C2-4443-B03F-A62E9A09C65E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5" w:fontKey="{93167123-D473-4A04-A0C3-9E1E990C925D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0A95"/>
    <w:rsid w:val="00380A95"/>
    <w:rsid w:val="00B635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K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87FD770-0E5D-4CB3-86CA-677848E94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4"/>
        <w:szCs w:val="24"/>
        <w:lang w:val="en" w:eastAsia="en-KE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al0">
    <w:name w:val="[Normal]"/>
    <w:qFormat/>
    <w:pPr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after="0" w:line="240" w:lineRule="auto"/>
    </w:p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4pllyHfdLbsn+68MbvBanK9VYvQ==">CgMxLjA4AHIhMUlTTDJlX3BXTFMtSzQ2UEN2V3gtVU4zN1o2cF94eW9Y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3831</Words>
  <Characters>21840</Characters>
  <Application>Microsoft Office Word</Application>
  <DocSecurity>0</DocSecurity>
  <Lines>182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Lucy Wakiaga</cp:lastModifiedBy>
  <cp:revision>2</cp:revision>
  <dcterms:created xsi:type="dcterms:W3CDTF">2026-07-01T15:28:00Z</dcterms:created>
  <dcterms:modified xsi:type="dcterms:W3CDTF">2026-07-01T15:28:00Z</dcterms:modified>
</cp:coreProperties>
</file>