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b/>
          <w:bCs/>
          <w:sz w:val="36"/>
          <w:szCs w:val="36"/>
          <w:u w:val="single"/>
        </w:rPr>
      </w:pPr>
      <w:bookmarkStart w:id="0" w:name="_GoBack"/>
      <w:bookmarkEnd w:id="0"/>
      <w:r>
        <w:rPr>
          <w:b/>
          <w:bCs/>
          <w:sz w:val="36"/>
          <w:szCs w:val="36"/>
          <w:u w:val="single"/>
        </w:rPr>
        <w:t>(RQ2 C)_ BEST PRACTICES</w:t>
      </w:r>
    </w:p>
    <w:p w14:paraId="0000000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2"/>
          <w:szCs w:val="22"/>
          <w:shd w:val="clear" w:color="auto" w:fill="9900FF"/>
        </w:rPr>
      </w:pPr>
    </w:p>
    <w:p w14:paraId="0000000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2"/>
          <w:szCs w:val="22"/>
          <w:shd w:val="clear" w:color="auto" w:fill="9900FF"/>
        </w:rPr>
      </w:pPr>
    </w:p>
    <w:p w14:paraId="0000000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2"/>
          <w:szCs w:val="22"/>
          <w:shd w:val="clear" w:color="auto" w:fill="9900FF"/>
        </w:rPr>
      </w:pPr>
      <w:r>
        <w:rPr>
          <w:sz w:val="22"/>
          <w:szCs w:val="22"/>
          <w:shd w:val="clear" w:color="auto" w:fill="9900FF"/>
        </w:rPr>
        <w:t>Description: What does the literature say about best practices</w:t>
      </w:r>
    </w:p>
    <w:p w14:paraId="0000000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sz w:val="28"/>
          <w:szCs w:val="28"/>
          <w:highlight w:val="yellow"/>
        </w:rPr>
      </w:pPr>
    </w:p>
    <w:p w14:paraId="00000006"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1: Community or Norms Change</w:t>
      </w:r>
    </w:p>
    <w:p w14:paraId="0000000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0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17 references coded  [1.58% Coverage]</w:t>
      </w:r>
    </w:p>
    <w:p w14:paraId="0000000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0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1 - 0.05% Coverage</w:t>
      </w:r>
    </w:p>
    <w:p w14:paraId="0000000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0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Men-to-men programmes and male involvement programmes as innovative prevention approaches.</w:t>
      </w:r>
    </w:p>
    <w:p w14:paraId="0000000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0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County-level stakeholder networks periodically sharing information and joint activities to combat GBV</w:t>
      </w:r>
    </w:p>
    <w:p w14:paraId="0000000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1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2 - 0.03% Coverage</w:t>
      </w:r>
    </w:p>
    <w:p w14:paraId="0000001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1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Non-discrimination – Teachers must not discriminate based on sex, pregnancy, marital status, ethnicity, disability, etc.</w:t>
      </w:r>
    </w:p>
    <w:p w14:paraId="0000001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1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3 - 0.03% Coverage</w:t>
      </w:r>
    </w:p>
    <w:p w14:paraId="0000001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1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Non-discrimination &amp; protection – prohibits discrimination and harmful cultural practices (FGM, child ma</w:t>
      </w:r>
      <w:r>
        <w:rPr>
          <w:color w:val="000000"/>
          <w:sz w:val="22"/>
          <w:szCs w:val="22"/>
        </w:rPr>
        <w:t>rriage, etc.).</w:t>
      </w:r>
    </w:p>
    <w:p w14:paraId="0000001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1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4 - 0.06% Coverage</w:t>
      </w:r>
    </w:p>
    <w:p w14:paraId="0000001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1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policy takes a human-rights-based and inclusive approach, expanding focus to both girls/women and boys/men.</w:t>
      </w:r>
    </w:p>
    <w:p w14:paraId="0000001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1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5 - 0.19% Coverage</w:t>
      </w:r>
    </w:p>
    <w:p w14:paraId="0000001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1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 the report identifies the church’s safeguarding framework and community-driven awareness models as best practices for faith-based child protection.</w:t>
      </w:r>
    </w:p>
    <w:p w14:paraId="0000001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2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6 - 0.02% Coverage</w:t>
      </w:r>
    </w:p>
    <w:p w14:paraId="0000002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2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local coalitions</w:t>
      </w:r>
    </w:p>
    <w:p w14:paraId="0000002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2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7 - 0.05% Coverage</w:t>
      </w:r>
    </w:p>
    <w:p w14:paraId="0000002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2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Focuses on vulnerable</w:t>
      </w:r>
      <w:r>
        <w:rPr>
          <w:color w:val="000000"/>
          <w:sz w:val="22"/>
          <w:szCs w:val="22"/>
        </w:rPr>
        <w:t xml:space="preserve"> and refugee girls, aligning with the Education in Emergencies framework.</w:t>
      </w:r>
    </w:p>
    <w:p w14:paraId="0000002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2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8 - 0.19% Coverage</w:t>
      </w:r>
    </w:p>
    <w:p w14:paraId="0000002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2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Yes – the Safe Spaces and Let Girls Thrive approaches are highlighted as best practices for addressing gender norms and empowering both boys and girls </w:t>
      </w:r>
      <w:r>
        <w:rPr>
          <w:color w:val="000000"/>
          <w:sz w:val="22"/>
          <w:szCs w:val="22"/>
        </w:rPr>
        <w:t>to advocate for equality and safety in schools.</w:t>
      </w:r>
    </w:p>
    <w:p w14:paraId="0000002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2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9 - 0.19% Coverage</w:t>
      </w:r>
    </w:p>
    <w:p w14:paraId="0000002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2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 the LGT model is presented as an effective best practice for engaging both boys and girls in dismantling gender stereotypes and promoting equality through school-based int</w:t>
      </w:r>
      <w:r>
        <w:rPr>
          <w:color w:val="000000"/>
          <w:sz w:val="22"/>
          <w:szCs w:val="22"/>
        </w:rPr>
        <w:t>erventions.</w:t>
      </w:r>
    </w:p>
    <w:p w14:paraId="0000002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3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10 - 0.04% Coverage</w:t>
      </w:r>
    </w:p>
    <w:p w14:paraId="0000003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3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It emphasizes both girls’ empowerment and boys’ engagement as allies in promoting gender equality.</w:t>
      </w:r>
    </w:p>
    <w:p w14:paraId="0000003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3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11 - 0.09% Coverage</w:t>
      </w:r>
    </w:p>
    <w:p w14:paraId="0000003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3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community-based approaches as effective for adolescent SRH and HIV response</w:t>
      </w:r>
    </w:p>
    <w:p w14:paraId="0000003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3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12 - 0.07% Coverage</w:t>
      </w:r>
    </w:p>
    <w:p w14:paraId="0000003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3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It recommends stronger county-level implementation, youth involvement, and community norm change interventions.</w:t>
      </w:r>
    </w:p>
    <w:p w14:paraId="0000003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3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13 - 0.04% Coverage</w:t>
      </w:r>
    </w:p>
    <w:p w14:paraId="0000003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3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Multi-sectoral and community partnerships are recommended as essential for sust</w:t>
      </w:r>
      <w:r>
        <w:rPr>
          <w:color w:val="000000"/>
          <w:sz w:val="22"/>
          <w:szCs w:val="22"/>
        </w:rPr>
        <w:t>ainability</w:t>
      </w:r>
    </w:p>
    <w:p w14:paraId="0000003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4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14 - 0.19% Coverage</w:t>
      </w:r>
    </w:p>
    <w:p w14:paraId="0000004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4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The review results state that a combination of SRGBV sensitisation and self-defense are effective in decreasing the risk/incidences of sexual violence.                                           -  A combination </w:t>
      </w:r>
      <w:r>
        <w:rPr>
          <w:color w:val="000000"/>
          <w:sz w:val="22"/>
          <w:szCs w:val="22"/>
        </w:rPr>
        <w:t>of SRGBV sensitisation and self-defense is effective in reducing the incidences of sexual violence.                 - A combination of SRGBV sensitisation and bystander intervention is effective in decreasing the incidence of sexual/physical violence.</w:t>
      </w:r>
    </w:p>
    <w:p w14:paraId="0000004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4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w:t>
      </w:r>
      <w:r>
        <w:rPr>
          <w:color w:val="000000"/>
          <w:sz w:val="22"/>
          <w:szCs w:val="22"/>
          <w:shd w:val="clear" w:color="auto" w:fill="D3D3D3"/>
        </w:rPr>
        <w:t>erence 15 - 0.12% Coverage</w:t>
      </w:r>
    </w:p>
    <w:p w14:paraId="0000004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4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Additionally, adolescents’ individual attitudes and the broader peer normative environment are key drivers of vulnerability to teacher corporal punishment in sub-Saharan Africa, including Kenya.</w:t>
      </w:r>
    </w:p>
    <w:p w14:paraId="0000004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4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16 - 0.19% Coverage</w:t>
      </w:r>
    </w:p>
    <w:p w14:paraId="0000004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4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Dialogical teaching help students raise issues around SRGBV and have meaningful dialogue with teachers.</w:t>
      </w:r>
    </w:p>
    <w:p w14:paraId="0000004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4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17 - 0.02% Coverage</w:t>
      </w:r>
    </w:p>
    <w:p w14:paraId="0000004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4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Engagement of teachers, parents, pupils and community stakeholders as catalysts of chage strengthens the sustainabil</w:t>
      </w:r>
      <w:r>
        <w:rPr>
          <w:color w:val="000000"/>
          <w:sz w:val="22"/>
          <w:szCs w:val="22"/>
        </w:rPr>
        <w:t xml:space="preserve">ity of SRGBV initiatives.    </w:t>
      </w:r>
    </w:p>
    <w:p w14:paraId="0000004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5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51"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lastRenderedPageBreak/>
        <w:t>Theme 2: Curriculum and Training Interventions</w:t>
      </w:r>
    </w:p>
    <w:p w14:paraId="0000005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5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7 references coded  [0.41% Coverage]</w:t>
      </w:r>
    </w:p>
    <w:p w14:paraId="0000005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5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1 - 0.05% Coverage</w:t>
      </w:r>
    </w:p>
    <w:p w14:paraId="0000005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5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Alternative Positive Discipline approaches have been introduced and tested through teacher professional development programmes (via MoE, TSC, and CSOs working in education and child protection).</w:t>
      </w:r>
    </w:p>
    <w:p w14:paraId="0000005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5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2 - 0.05% Coverage</w:t>
      </w:r>
    </w:p>
    <w:p w14:paraId="0000005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5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Calls for integration of GBV i</w:t>
      </w:r>
      <w:r>
        <w:rPr>
          <w:color w:val="000000"/>
          <w:sz w:val="22"/>
          <w:szCs w:val="22"/>
        </w:rPr>
        <w:t xml:space="preserve">nto school curricula for awareness and prevention, highlighting the role of the education sector. </w:t>
      </w:r>
    </w:p>
    <w:p w14:paraId="0000005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5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3 - 0.19% Coverage</w:t>
      </w:r>
    </w:p>
    <w:p w14:paraId="0000005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5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document promotes best practices such as gender mainstreaming, gender-responsive pedagogy, mentorship for STEM participati</w:t>
      </w:r>
      <w:r>
        <w:rPr>
          <w:color w:val="000000"/>
          <w:sz w:val="22"/>
          <w:szCs w:val="22"/>
        </w:rPr>
        <w:t>on, and affirmative action — though not explicitly labeled “best practice.”</w:t>
      </w:r>
    </w:p>
    <w:p w14:paraId="0000006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6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4 - 0.02% Coverage</w:t>
      </w:r>
    </w:p>
    <w:p w14:paraId="0000006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6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teacher training manuals,</w:t>
      </w:r>
    </w:p>
    <w:p w14:paraId="0000006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6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5 - 0.03% Coverage</w:t>
      </w:r>
    </w:p>
    <w:p w14:paraId="0000006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6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effectiveness of  this intervention was attributed to the highly rigorous selection and training process for local facilitators </w:t>
      </w:r>
    </w:p>
    <w:p w14:paraId="0000006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recruited and small groups of no more than 15 girls. </w:t>
      </w:r>
    </w:p>
    <w:p w14:paraId="0000006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6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6 - 0.03% Coverage</w:t>
      </w:r>
    </w:p>
    <w:p w14:paraId="0000006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6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In developing school curriculums aro</w:t>
      </w:r>
      <w:r>
        <w:rPr>
          <w:color w:val="000000"/>
          <w:sz w:val="22"/>
          <w:szCs w:val="22"/>
        </w:rPr>
        <w:t>und SRGBV, allowing extended period time for discussion and reflection on deeply roooted beliefs amongst the participants is crucial for the development of a contextually rooted curriculum.</w:t>
      </w:r>
    </w:p>
    <w:p w14:paraId="0000006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6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7 - 0.03% Coverage</w:t>
      </w:r>
    </w:p>
    <w:p w14:paraId="0000006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7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Memory work with pre-service tra</w:t>
      </w:r>
      <w:r>
        <w:rPr>
          <w:color w:val="000000"/>
          <w:sz w:val="22"/>
          <w:szCs w:val="22"/>
        </w:rPr>
        <w:t>ining of teachers enable student teachers to reflect on violence in their own childhoods, and to use these reflections to reconstruct non-violent teaching approaches.</w:t>
      </w:r>
    </w:p>
    <w:p w14:paraId="0000007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7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73"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3: Evidence-based Programming and Accountability</w:t>
      </w:r>
    </w:p>
    <w:p w14:paraId="0000007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7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28 references coded  [3.32% Coverage]</w:t>
      </w:r>
    </w:p>
    <w:p w14:paraId="0000007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7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lastRenderedPageBreak/>
        <w:t>Reference 1 - 0.07% Coverage</w:t>
      </w:r>
    </w:p>
    <w:p w14:paraId="0000007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7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Monitoring &amp; accountability</w:t>
      </w:r>
    </w:p>
    <w:p w14:paraId="0000007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Result Matrix in the NPRP has indicators specific to education, such as:</w:t>
      </w:r>
    </w:p>
    <w:p w14:paraId="0000007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7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reduction in acceptance of </w:t>
      </w:r>
      <w:r>
        <w:rPr>
          <w:color w:val="000000"/>
          <w:sz w:val="22"/>
          <w:szCs w:val="22"/>
        </w:rPr>
        <w:t>corporal punishment</w:t>
      </w:r>
    </w:p>
    <w:p w14:paraId="0000007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7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reduction in peer violence among students</w:t>
      </w:r>
    </w:p>
    <w:p w14:paraId="0000007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8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increase in knowledge of VAC prevention among children</w:t>
      </w:r>
    </w:p>
    <w:p w14:paraId="0000008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8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This provides a baseline for evaluating SRGBV policy effectiveness</w:t>
      </w:r>
    </w:p>
    <w:p w14:paraId="0000008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8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2 - 0.04% Coverage</w:t>
      </w:r>
    </w:p>
    <w:p w14:paraId="0000008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8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Stresses the need for continuous monitoring and evaluation, with schools required to use the manual as a benchmark for self-assessment.</w:t>
      </w:r>
    </w:p>
    <w:p w14:paraId="0000008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8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3 - 0.02% Coverage</w:t>
      </w:r>
    </w:p>
    <w:p w14:paraId="0000008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8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data-driven accountability </w:t>
      </w:r>
    </w:p>
    <w:p w14:paraId="0000008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8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4 - 0.11% Coverage</w:t>
      </w:r>
    </w:p>
    <w:p w14:paraId="0000008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8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paper provides a global e</w:t>
      </w:r>
      <w:r>
        <w:rPr>
          <w:color w:val="000000"/>
          <w:sz w:val="22"/>
          <w:szCs w:val="22"/>
        </w:rPr>
        <w:t>vidence base linking SRGBV to gender inequality, school dropouts, and poor learning outcomes. It emphasizes the need for multi-sectoral and evidence-based national strategies, better teacher accountability, community engagement, and integration of gender e</w:t>
      </w:r>
      <w:r>
        <w:rPr>
          <w:color w:val="000000"/>
          <w:sz w:val="22"/>
          <w:szCs w:val="22"/>
        </w:rPr>
        <w:t>quality in education systems.</w:t>
      </w:r>
    </w:p>
    <w:p w14:paraId="0000008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9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5 - 0.19% Coverage</w:t>
      </w:r>
    </w:p>
    <w:p w14:paraId="0000009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9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The Kenya VACS process is cited as a best practice model for national data collection on violence against children. It aligns with the global VACS framework coordinated by CDC and UNICEF, used as a gold standard in more than 20 countries for generatin</w:t>
      </w:r>
      <w:r>
        <w:rPr>
          <w:color w:val="000000"/>
          <w:sz w:val="22"/>
          <w:szCs w:val="22"/>
        </w:rPr>
        <w:t>g actionable data to guide violence prevention policy.</w:t>
      </w:r>
    </w:p>
    <w:p w14:paraId="0000009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9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6 - 0.19% Coverage</w:t>
      </w:r>
    </w:p>
    <w:p w14:paraId="0000009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9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Kenya VACS 2019 provides comprehensive national data on violence prevalence, risk factors, and impacts. It serves as an empirical foundation for evidence-based planning and monitoring of Kenya’s commitments to end violence against children. The inclusi</w:t>
      </w:r>
      <w:r>
        <w:rPr>
          <w:color w:val="000000"/>
          <w:sz w:val="22"/>
          <w:szCs w:val="22"/>
        </w:rPr>
        <w:t>on of INSPIRE indicators makes it highly relevant for both national and global reporting. Its use of comparative analysis (2010 vs. 2019) also enhances understanding of progress and emerging challenges.</w:t>
      </w:r>
    </w:p>
    <w:p w14:paraId="0000009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9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7 - 0.19% Coverage</w:t>
      </w:r>
    </w:p>
    <w:p w14:paraId="0000009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9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brief underscores </w:t>
      </w:r>
      <w:r>
        <w:rPr>
          <w:color w:val="000000"/>
          <w:sz w:val="22"/>
          <w:szCs w:val="22"/>
        </w:rPr>
        <w:t xml:space="preserve">a critical policy and implementation gap within Kenya’s education system concerning SRGBV. It offers a practical roadmap to strengthen gender mainstreaming in education </w:t>
      </w:r>
      <w:r>
        <w:rPr>
          <w:color w:val="000000"/>
          <w:sz w:val="22"/>
          <w:szCs w:val="22"/>
        </w:rPr>
        <w:lastRenderedPageBreak/>
        <w:t xml:space="preserve">through evidence-based guideline development, monitoring, and training. It aligns with </w:t>
      </w:r>
      <w:r>
        <w:rPr>
          <w:color w:val="000000"/>
          <w:sz w:val="22"/>
          <w:szCs w:val="22"/>
        </w:rPr>
        <w:t>global SRGBV guidance (UNESCO &amp; UN Women, 2016) and national education reforms. The policy recommendation to develop SRGBV guidelines backed by robust data generation represents a pivotal step toward safer and more equitable learning environments.</w:t>
      </w:r>
    </w:p>
    <w:p w14:paraId="0000009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9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w:t>
      </w:r>
      <w:r>
        <w:rPr>
          <w:color w:val="000000"/>
          <w:sz w:val="22"/>
          <w:szCs w:val="22"/>
          <w:shd w:val="clear" w:color="auto" w:fill="D3D3D3"/>
        </w:rPr>
        <w:t>ce 8 - 0.19% Coverage</w:t>
      </w:r>
    </w:p>
    <w:p w14:paraId="0000009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9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factsheet does not explicitly label itself as a “best practice,” but its approach of summarizing disaggregated, sex-sensitive, survey-based SRGBV data in a clear, accessible infographic is consistent with best practices for evide</w:t>
      </w:r>
      <w:r>
        <w:rPr>
          <w:color w:val="000000"/>
          <w:sz w:val="22"/>
          <w:szCs w:val="22"/>
        </w:rPr>
        <w:t>nce dissemination.</w:t>
      </w:r>
    </w:p>
    <w:p w14:paraId="0000009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A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9 - 0.19% Coverage</w:t>
      </w:r>
    </w:p>
    <w:p w14:paraId="000000A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A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factsheet is a succinct, high‐level tool for awareness and advocacy. It helps present key SRGBV metrics in Kenya (e.g. percent experiencing violence at school, by sex and perpetrator) in an accessible w</w:t>
      </w:r>
      <w:r>
        <w:rPr>
          <w:color w:val="000000"/>
          <w:sz w:val="22"/>
          <w:szCs w:val="22"/>
        </w:rPr>
        <w:t>ay to non-technical audiences. For your desk review, it offers a compact source of Kenya SRGBV data that complements fuller survey reports.</w:t>
      </w:r>
    </w:p>
    <w:p w14:paraId="000000A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A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10 - 0.19% Coverage</w:t>
      </w:r>
    </w:p>
    <w:p w14:paraId="000000A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A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study is valuable in filling a gap: data on SRGBV in younger pupils (grades 4-8)</w:t>
      </w:r>
      <w:r>
        <w:rPr>
          <w:color w:val="000000"/>
          <w:sz w:val="22"/>
          <w:szCs w:val="22"/>
        </w:rPr>
        <w:t xml:space="preserve"> rather than just older adolescents. The inclusion of online/ social media harassment is a new insight, relevant in modern school environments. The variation across counties (Kilifi, Kisii, Machakos, Narok) shows that interventions need to be context-speci</w:t>
      </w:r>
      <w:r>
        <w:rPr>
          <w:color w:val="000000"/>
          <w:sz w:val="22"/>
          <w:szCs w:val="22"/>
        </w:rPr>
        <w:t>fic.The strong gender difference (females more likely) reinforces need for gender-responsive interventions. Given that many students fear lodging complaints, the study highlights the need for safe, trusted, accessible reporting systems and protection for c</w:t>
      </w:r>
      <w:r>
        <w:rPr>
          <w:color w:val="000000"/>
          <w:sz w:val="22"/>
          <w:szCs w:val="22"/>
        </w:rPr>
        <w:t>omplainants.</w:t>
      </w:r>
    </w:p>
    <w:p w14:paraId="000000A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A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11 - 0.19% Coverage</w:t>
      </w:r>
    </w:p>
    <w:p w14:paraId="000000A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A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“Strength in Numbers” report is useful as it gives both continental/global scale and country-level insights. For Kenya, the data on reductions in childhood sexual violence from 2010 to 2019 are powerful indicators of progress. But the report is more ab</w:t>
      </w:r>
      <w:r>
        <w:rPr>
          <w:color w:val="000000"/>
          <w:sz w:val="22"/>
          <w:szCs w:val="22"/>
        </w:rPr>
        <w:t>out showing progress and identifying priorities rather than detailing implementation case studies. For your desk review, it serves well as a source for “baseline and change over time” information.</w:t>
      </w:r>
    </w:p>
    <w:p w14:paraId="000000A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A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12 - 0.02% Coverage</w:t>
      </w:r>
    </w:p>
    <w:p w14:paraId="000000A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A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Real-Time Monitoring in H</w:t>
      </w:r>
      <w:r>
        <w:rPr>
          <w:color w:val="000000"/>
          <w:sz w:val="22"/>
          <w:szCs w:val="22"/>
        </w:rPr>
        <w:t>ealth.</w:t>
      </w:r>
    </w:p>
    <w:p w14:paraId="000000A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B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13 - 0.01% Coverage</w:t>
      </w:r>
    </w:p>
    <w:p w14:paraId="000000B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B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Data System.</w:t>
      </w:r>
    </w:p>
    <w:p w14:paraId="000000B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B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14 - 0.04% Coverage</w:t>
      </w:r>
    </w:p>
    <w:p w14:paraId="000000B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B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study offers a critical evidence base for child protection programming in Kenya.</w:t>
      </w:r>
    </w:p>
    <w:p w14:paraId="000000B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B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15 - 0.04% Coverage</w:t>
      </w:r>
    </w:p>
    <w:p w14:paraId="000000B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B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 the use of data-driven advocacy</w:t>
      </w:r>
    </w:p>
    <w:p w14:paraId="000000B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B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16 - 0.05% Coverage</w:t>
      </w:r>
    </w:p>
    <w:p w14:paraId="000000B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B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Demonstrates how evidence and local coalitions can influence education and protection policy.</w:t>
      </w:r>
    </w:p>
    <w:p w14:paraId="000000B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C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17 - 0.04% Coverage</w:t>
      </w:r>
    </w:p>
    <w:p w14:paraId="000000C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C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Calls for stronger accountability from education and gender departments</w:t>
      </w:r>
    </w:p>
    <w:p w14:paraId="000000C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C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18 - 0.03% Coverage</w:t>
      </w:r>
    </w:p>
    <w:p w14:paraId="000000C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C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Shows potential for replication in other urban informal and rural settings.</w:t>
      </w:r>
    </w:p>
    <w:p w14:paraId="000000C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C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19 - 0.19% Coverage</w:t>
      </w:r>
    </w:p>
    <w:p w14:paraId="000000C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C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This framework complements the 2016 Global Guidance on Addressing SRGBV and focuses on operationalization and measu</w:t>
      </w:r>
      <w:r>
        <w:rPr>
          <w:color w:val="000000"/>
          <w:sz w:val="22"/>
          <w:szCs w:val="22"/>
        </w:rPr>
        <w:t>rement. It provides both qualitative and quantitative indicators for monitoring change, emphasizing cyclical evaluation, adaptation, and sustainability. Particularly useful for ministries, teacher training institutions, and NGOs designing school-based SRGB</w:t>
      </w:r>
      <w:r>
        <w:rPr>
          <w:color w:val="000000"/>
          <w:sz w:val="22"/>
          <w:szCs w:val="22"/>
        </w:rPr>
        <w:t>V prevention programs.</w:t>
      </w:r>
    </w:p>
    <w:p w14:paraId="000000C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C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20 - 0.19% Coverage</w:t>
      </w:r>
    </w:p>
    <w:p w14:paraId="000000C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C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newsletter reflects FAWE Kenya’s multi-sectoral approach linking policy advocacy, grassroots programming, and evidence-based decision-making. It underscores the organization’s leadership in promoti</w:t>
      </w:r>
      <w:r>
        <w:rPr>
          <w:color w:val="000000"/>
          <w:sz w:val="22"/>
          <w:szCs w:val="22"/>
        </w:rPr>
        <w:t>ng gender equality in education and supporting the implementation of Kenya’s Re-entry and Mentorship policies. The issue integrates innovation (STEM, AI), advocacy (anti-corruption, data use), and protection (safeguarding, anti-FGM) as complementary pillar</w:t>
      </w:r>
      <w:r>
        <w:rPr>
          <w:color w:val="000000"/>
          <w:sz w:val="22"/>
          <w:szCs w:val="22"/>
        </w:rPr>
        <w:t>s.</w:t>
      </w:r>
    </w:p>
    <w:p w14:paraId="000000C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D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21 - 0.12% Coverage</w:t>
      </w:r>
    </w:p>
    <w:p w14:paraId="000000D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D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report provides a comprehensive situation analysis combining literature review and field data. It identifies social norms, poverty, and limited access to SRH information/services as key drivers</w:t>
      </w:r>
    </w:p>
    <w:p w14:paraId="000000D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D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22 - 0.04% Coverage</w:t>
      </w:r>
    </w:p>
    <w:p w14:paraId="000000D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D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multi-sectoral accountability in GBV elimination.</w:t>
      </w:r>
    </w:p>
    <w:p w14:paraId="000000D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D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23 - 0.19% Coverage</w:t>
      </w:r>
    </w:p>
    <w:p w14:paraId="000000D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D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report showcases Kenya’s leadership in implementing comprehensive, data-informed, and multi-sectoral GBV responses. It reflects measurable </w:t>
      </w:r>
      <w:r>
        <w:rPr>
          <w:color w:val="000000"/>
          <w:sz w:val="22"/>
          <w:szCs w:val="22"/>
        </w:rPr>
        <w:t>progress toward the 2026 targets but emphasizes the need for sustained funding, capacity building, and community-level accountability. The localization of GEF commitments (“GEF Mashinani”) is a notable innovation ensuring inclusivity and grassroots ownersh</w:t>
      </w:r>
      <w:r>
        <w:rPr>
          <w:color w:val="000000"/>
          <w:sz w:val="22"/>
          <w:szCs w:val="22"/>
        </w:rPr>
        <w:t>ip.</w:t>
      </w:r>
    </w:p>
    <w:p w14:paraId="000000D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D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24 - 0.19% Coverage</w:t>
      </w:r>
    </w:p>
    <w:p w14:paraId="000000D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D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SVAGS project is one of the first comprehensive multi-country efforts to document and address SRGBV through policy influence, education system strengthening, and community empowerment. It highlights the need for long-term (5–10 year) interventions, rob</w:t>
      </w:r>
      <w:r>
        <w:rPr>
          <w:color w:val="000000"/>
          <w:sz w:val="22"/>
          <w:szCs w:val="22"/>
        </w:rPr>
        <w:t>ust M&amp;E, and alignment of school, community, and legal mechanisms to achieve lasting change.</w:t>
      </w:r>
    </w:p>
    <w:p w14:paraId="000000D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E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25 - 0.19% Coverage</w:t>
      </w:r>
    </w:p>
    <w:p w14:paraId="000000E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E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article concludes by calling for research that show evidence on interventions informed by UNGEI's whole school approach especia</w:t>
      </w:r>
      <w:r>
        <w:rPr>
          <w:color w:val="000000"/>
          <w:sz w:val="22"/>
          <w:szCs w:val="22"/>
        </w:rPr>
        <w:t>lly to strengthen the evidence quality and rigorously test the effectiveness of including boys, parents, and communities in school-based GBV interventions.</w:t>
      </w:r>
    </w:p>
    <w:p w14:paraId="000000E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E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26 - 0.08% Coverage</w:t>
      </w:r>
    </w:p>
    <w:p w14:paraId="000000E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E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findings report tha data from Kenya showed the strongest relatio</w:t>
      </w:r>
      <w:r>
        <w:rPr>
          <w:color w:val="000000"/>
          <w:sz w:val="22"/>
          <w:szCs w:val="22"/>
        </w:rPr>
        <w:t>nship between adolescent endorsement and teacher violence</w:t>
      </w:r>
    </w:p>
    <w:p w14:paraId="000000E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E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27 - 0.10% Coverage</w:t>
      </w:r>
    </w:p>
    <w:p w14:paraId="000000E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E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It does note that Sexuality &amp; Relationships Education (SRE) and initiatives like the walking school bus have been effective elsewhere and are recommended for consideration/scale-up in the Kenyan context.</w:t>
      </w:r>
    </w:p>
    <w:p w14:paraId="000000E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E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28 - 0.19% Coverage</w:t>
      </w:r>
    </w:p>
    <w:p w14:paraId="000000E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E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This review strongly</w:t>
      </w:r>
      <w:r>
        <w:rPr>
          <w:color w:val="000000"/>
          <w:sz w:val="22"/>
          <w:szCs w:val="22"/>
        </w:rPr>
        <w:t xml:space="preserve"> concludes that in policy enactment, research evidence is important, so that the policies and action plans are guided by the best available knowledge of approaches to SRGBV in that particular context. This includes having </w:t>
      </w:r>
    </w:p>
    <w:p w14:paraId="000000E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access to qualitative and quantit</w:t>
      </w:r>
      <w:r>
        <w:rPr>
          <w:color w:val="000000"/>
          <w:sz w:val="22"/>
          <w:szCs w:val="22"/>
        </w:rPr>
        <w:t>ative research findings as well as the capacity to gather and interpret data.</w:t>
      </w:r>
    </w:p>
    <w:p w14:paraId="000000F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F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F2"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4: Multisectoral coordination and Partnerships</w:t>
      </w:r>
    </w:p>
    <w:p w14:paraId="000000F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F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15 references coded  [1.40% Coverage]</w:t>
      </w:r>
    </w:p>
    <w:p w14:paraId="000000F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F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1 - 0.04% Coverage</w:t>
      </w:r>
    </w:p>
    <w:p w14:paraId="000000F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F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Emphasizes linkages between GBV and HIV/AIDS, recognizing intersecting vulnerabilities.</w:t>
      </w:r>
    </w:p>
    <w:p w14:paraId="000000F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F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2 - 0.04% Coverage</w:t>
      </w:r>
    </w:p>
    <w:p w14:paraId="000000F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0F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manual provides a holistic framework, integrating physical, psychosocial, health, and community dimensions of school safety.</w:t>
      </w:r>
    </w:p>
    <w:p w14:paraId="000000F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0F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3 - 0.19% Coverage</w:t>
      </w:r>
    </w:p>
    <w:p w14:paraId="000000F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0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lastRenderedPageBreak/>
        <w:t>Yes. The document notes Kenya’s approach as a model for multi-sectoral and evidence-based coordination, combining leadership, financing, and data-driven accountability — recognized under the Generation Equality global framewor</w:t>
      </w:r>
      <w:r>
        <w:rPr>
          <w:color w:val="000000"/>
          <w:sz w:val="22"/>
          <w:szCs w:val="22"/>
        </w:rPr>
        <w:t>k as a best practice model for co-leading the GBV Action Coalition.</w:t>
      </w:r>
    </w:p>
    <w:p w14:paraId="0000010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0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4 - 0.01% Coverage</w:t>
      </w:r>
    </w:p>
    <w:p w14:paraId="0000010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0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multi-level,</w:t>
      </w:r>
    </w:p>
    <w:p w14:paraId="0000010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0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5 - 0.09% Coverage</w:t>
      </w:r>
    </w:p>
    <w:p w14:paraId="0000010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0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ten guiding principles outlined (clear conceptualization, inter-sectoral coordination, accountability, partic</w:t>
      </w:r>
      <w:r>
        <w:rPr>
          <w:color w:val="000000"/>
          <w:sz w:val="22"/>
          <w:szCs w:val="22"/>
        </w:rPr>
        <w:t>ipation, and gender-transformative pedagogy) can serve as a checklist for designing SRGBV prevention frameworks in Kenya and other countries</w:t>
      </w:r>
    </w:p>
    <w:p w14:paraId="0000010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0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6 - 0.14% Coverage</w:t>
      </w:r>
    </w:p>
    <w:p w14:paraId="0000010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0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Provides comprehensive thematic coverage (access, equity, quality, safety/GBV, mentoring, governance).</w:t>
      </w:r>
    </w:p>
    <w:p w14:paraId="0000010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Implementation is multi-level (national, county, institutional).</w:t>
      </w:r>
    </w:p>
    <w:p w14:paraId="0000010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Success depends on effective coordination, sustained funding, and societal attitud</w:t>
      </w:r>
      <w:r>
        <w:rPr>
          <w:color w:val="000000"/>
          <w:sz w:val="22"/>
          <w:szCs w:val="22"/>
        </w:rPr>
        <w:t>e change.</w:t>
      </w:r>
    </w:p>
    <w:p w14:paraId="0000010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1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7 - 0.19% Coverage</w:t>
      </w:r>
    </w:p>
    <w:p w14:paraId="0000011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1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report demonstrates UNICEF’s multi-sectoral and partnership-based approach under Kenya’s devolved system. It documents effective community-based and government-linked strategies for child survival and developmen</w:t>
      </w:r>
      <w:r>
        <w:rPr>
          <w:color w:val="000000"/>
          <w:sz w:val="22"/>
          <w:szCs w:val="22"/>
        </w:rPr>
        <w:t>t. The transition to the 2018–2022 programme builds on these lessons, emphasizing equity, resilience, and digital innovation.</w:t>
      </w:r>
    </w:p>
    <w:p w14:paraId="0000011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1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8 - 0.05% Coverage</w:t>
      </w:r>
    </w:p>
    <w:p w14:paraId="0000011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1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Recommendations emphasize prevention, reporting, psychosocial support, and accountability mechani</w:t>
      </w:r>
      <w:r>
        <w:rPr>
          <w:color w:val="000000"/>
          <w:sz w:val="22"/>
          <w:szCs w:val="22"/>
        </w:rPr>
        <w:t>sms.</w:t>
      </w:r>
    </w:p>
    <w:p w14:paraId="0000011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1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9 - 0.05% Coverage</w:t>
      </w:r>
    </w:p>
    <w:p w14:paraId="0000011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1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advocacy highlights the urgent need for enforceable county-level GBV frameworks in schools.</w:t>
      </w:r>
    </w:p>
    <w:p w14:paraId="0000011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1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10 - 0.05% Coverage</w:t>
      </w:r>
    </w:p>
    <w:p w14:paraId="0000011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1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program’s multi-component design (training, mentoring, clubs, and reporting tools) offers a strong community-based education model.</w:t>
      </w:r>
    </w:p>
    <w:p w14:paraId="0000011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2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11 - 0.06% Coverage</w:t>
      </w:r>
    </w:p>
    <w:p w14:paraId="0000012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2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multi-sectoral partnerships, which are adaptable to different contexts.</w:t>
      </w:r>
    </w:p>
    <w:p w14:paraId="0000012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2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12 - 0.19% Coverage</w:t>
      </w:r>
    </w:p>
    <w:p w14:paraId="0000012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2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lastRenderedPageBreak/>
        <w:t>The review concludes with a call for holistic, multifaceted approaches to adddressing SRGBV with efforts involving all levels of schooling, teacher training programs, community efforts, and ministerial policy and practice thr</w:t>
      </w:r>
      <w:r>
        <w:rPr>
          <w:color w:val="000000"/>
          <w:sz w:val="22"/>
          <w:szCs w:val="22"/>
        </w:rPr>
        <w:t>ough leadership at the national level and the development of strong policies at every level are being crucial.</w:t>
      </w:r>
    </w:p>
    <w:p w14:paraId="0000012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2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13 - 0.09% Coverage</w:t>
      </w:r>
    </w:p>
    <w:p w14:paraId="0000012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2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article does not label any specific “best practice.” Instead it emphasizes gaps in implementation and recomme</w:t>
      </w:r>
      <w:r>
        <w:rPr>
          <w:color w:val="000000"/>
          <w:sz w:val="22"/>
          <w:szCs w:val="22"/>
        </w:rPr>
        <w:t>nds stronger enforcement, school counselling, and multi-sectoral responses</w:t>
      </w:r>
    </w:p>
    <w:p w14:paraId="0000012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2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14 - 0.01% Coverage</w:t>
      </w:r>
    </w:p>
    <w:p w14:paraId="0000012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2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Multisectorial planning and coordination.</w:t>
      </w:r>
    </w:p>
    <w:p w14:paraId="0000012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15 - 0.19% Coverage</w:t>
      </w:r>
    </w:p>
    <w:p w14:paraId="0000013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This review  outlines the urgent need for review of  laws , policies and </w:t>
      </w:r>
      <w:r>
        <w:rPr>
          <w:color w:val="000000"/>
          <w:sz w:val="22"/>
          <w:szCs w:val="22"/>
        </w:rPr>
        <w:t>the development of multisectoral protocols at the national and county level, that outline roles and responsibilities for various service providers, supervisory and accountability measures and referral networks aimed at ensuring proper handling of matters a</w:t>
      </w:r>
      <w:r>
        <w:rPr>
          <w:color w:val="000000"/>
          <w:sz w:val="22"/>
          <w:szCs w:val="22"/>
        </w:rPr>
        <w:t>round child sexual abuse.</w:t>
      </w:r>
    </w:p>
    <w:p w14:paraId="0000013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5"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5: Policy and Legal Frameworks</w:t>
      </w:r>
    </w:p>
    <w:p w14:paraId="0000013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16 references coded  [1.70% Coverage]</w:t>
      </w:r>
    </w:p>
    <w:p w14:paraId="0000013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1 - 0.06% Coverage</w:t>
      </w:r>
    </w:p>
    <w:p w14:paraId="0000013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School Safety Standards Manual and the Child-Friendly Schools Manual were piloted and rolled out by the Ministry of Education with partners in Kenyan schools as frameworks to strengthen safe and inclusive learning environments.</w:t>
      </w:r>
    </w:p>
    <w:p w14:paraId="0000013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3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2 - 0.03% Coverage</w:t>
      </w:r>
    </w:p>
    <w:p w14:paraId="0000013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3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A manual for prosecutors on SGBV and appointment of special prosecutors in high-prevalence areas.</w:t>
      </w:r>
    </w:p>
    <w:p w14:paraId="0000014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3 - 0.02% Coverage</w:t>
      </w:r>
    </w:p>
    <w:p w14:paraId="0000014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Sector-specific Codes of Conduct, workplace GBV policies, and sexual harassment policies.</w:t>
      </w:r>
    </w:p>
    <w:p w14:paraId="0000014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4 - 0.04% Coverage</w:t>
      </w:r>
    </w:p>
    <w:p w14:paraId="0000014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manual provides a holistic framework, integrating physical, psychosocial, health, and community dimensions of school safety.</w:t>
      </w:r>
    </w:p>
    <w:p w14:paraId="0000014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5 - 0.19% Coverage</w:t>
      </w:r>
    </w:p>
    <w:p w14:paraId="0000014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Act itself does not label provisions as “best practices”, but </w:t>
      </w:r>
      <w:r>
        <w:rPr>
          <w:color w:val="000000"/>
          <w:sz w:val="22"/>
          <w:szCs w:val="22"/>
        </w:rPr>
        <w:t>the inclusion of victim protection, vulnerable witness safeguards, and a policy framework is consistent with international best practice standards.</w:t>
      </w:r>
    </w:p>
    <w:p w14:paraId="0000014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4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6 - 0.09% Coverage</w:t>
      </w:r>
    </w:p>
    <w:p w14:paraId="0000014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4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ten guiding principles outlined (clear conceptualization, inter-sectoral </w:t>
      </w:r>
      <w:r>
        <w:rPr>
          <w:color w:val="000000"/>
          <w:sz w:val="22"/>
          <w:szCs w:val="22"/>
        </w:rPr>
        <w:t>coordination, accountability, participation, and gender-transformative pedagogy) can serve as a checklist for designing SRGBV prevention frameworks in Kenya and other countries</w:t>
      </w:r>
    </w:p>
    <w:p w14:paraId="0000015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7 - 0.06% Coverage</w:t>
      </w:r>
    </w:p>
    <w:p w14:paraId="0000015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policy takes a human-rights-based and incl</w:t>
      </w:r>
      <w:r>
        <w:rPr>
          <w:color w:val="000000"/>
          <w:sz w:val="22"/>
          <w:szCs w:val="22"/>
        </w:rPr>
        <w:t>usive approach, expanding focus to both girls/women and boys/men.</w:t>
      </w:r>
    </w:p>
    <w:p w14:paraId="0000015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8 - 0.19% Coverage</w:t>
      </w:r>
    </w:p>
    <w:p w14:paraId="0000015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 the report identifies the church’s safeguarding framework and community-driven awareness models as best practices for faith-based child protection.</w:t>
      </w:r>
    </w:p>
    <w:p w14:paraId="0000015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9 - 0.05% Coverage</w:t>
      </w:r>
    </w:p>
    <w:p w14:paraId="0000015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advocacy highlights the urgent need for enforceable county-level GBV frameworks in schools.</w:t>
      </w:r>
    </w:p>
    <w:p w14:paraId="0000015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5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10 - 0.19% Coverage</w:t>
      </w:r>
    </w:p>
    <w:p w14:paraId="0000015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5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This framework complements the 2016 Global Guidance on Addressing SRGBV and focuses on operation</w:t>
      </w:r>
      <w:r>
        <w:rPr>
          <w:color w:val="000000"/>
          <w:sz w:val="22"/>
          <w:szCs w:val="22"/>
        </w:rPr>
        <w:t>alization and measurement. It provides both qualitative and quantitative indicators for monitoring change, emphasizing cyclical evaluation, adaptation, and sustainability. Particularly useful for ministries, teacher training institutions, and NGOs designin</w:t>
      </w:r>
      <w:r>
        <w:rPr>
          <w:color w:val="000000"/>
          <w:sz w:val="22"/>
          <w:szCs w:val="22"/>
        </w:rPr>
        <w:t>g school-based SRGBV prevention programs</w:t>
      </w:r>
    </w:p>
    <w:p w14:paraId="0000016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11 - 0.09% Coverage</w:t>
      </w:r>
    </w:p>
    <w:p w14:paraId="0000016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study does not explicitly define a “best practice.” However, it notes examples from other countries (e.g., Gambia, South Africa) that developed policies and guidelines to address </w:t>
      </w:r>
      <w:r>
        <w:rPr>
          <w:color w:val="000000"/>
          <w:sz w:val="22"/>
          <w:szCs w:val="22"/>
        </w:rPr>
        <w:t>sexual harassment and teacher abuse. These are presented as illustrative models of how policy and law can be used to combat school-related gender-based violence (SRGBV):</w:t>
      </w:r>
    </w:p>
    <w:p w14:paraId="0000016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12 - 0.05% Coverage</w:t>
      </w:r>
    </w:p>
    <w:p w14:paraId="0000016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The Gambia – In 2004, the Ministry of Education developed a policy to punish adults who sexually harass students in schools, ensuring accountability and setting disciplinary measures for teacher misconduct.</w:t>
      </w:r>
    </w:p>
    <w:p w14:paraId="0000016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13 - 0.05% Coverage</w:t>
      </w:r>
    </w:p>
    <w:p w14:paraId="0000016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South Africa – The Department of Education issued national guidelines aimed at reducing sexual abuse of students by teachers, establishing procedures for prevention, reporting, and disciplinary action against offenders.</w:t>
      </w:r>
    </w:p>
    <w:p w14:paraId="0000016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6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14 - 0.19% Coverage</w:t>
      </w:r>
    </w:p>
    <w:p w14:paraId="0000016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6F"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w:t>
      </w:r>
      <w:r>
        <w:rPr>
          <w:color w:val="000000"/>
          <w:sz w:val="22"/>
          <w:szCs w:val="22"/>
        </w:rPr>
        <w:t>e SVAGS project is one of the first comprehensive multi-country efforts to document and address SRGBV through policy influence, education system strengthening, and community empowerment. It highlights the need for long-term (5–10 year) interventions, robus</w:t>
      </w:r>
      <w:r>
        <w:rPr>
          <w:color w:val="000000"/>
          <w:sz w:val="22"/>
          <w:szCs w:val="22"/>
        </w:rPr>
        <w:t>t M&amp;E, and alignment of school, community, and legal mechanisms to achieve lasting change.</w:t>
      </w:r>
    </w:p>
    <w:p w14:paraId="00000170"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1"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15 - 0.19% Coverage</w:t>
      </w:r>
    </w:p>
    <w:p w14:paraId="00000172"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73"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The laws and policies demonstrate strong intent and design as follows:-                                                              </w:t>
      </w:r>
      <w:r>
        <w:rPr>
          <w:color w:val="000000"/>
          <w:sz w:val="22"/>
          <w:szCs w:val="22"/>
        </w:rPr>
        <w:t xml:space="preserve">                   - Outlining of harsh penalties of SRGBV perpetrators.                                                                                                                      -  Child sexual abuse survivors' entitlement to free legal and med</w:t>
      </w:r>
      <w:r>
        <w:rPr>
          <w:color w:val="000000"/>
          <w:sz w:val="22"/>
          <w:szCs w:val="22"/>
        </w:rPr>
        <w:t xml:space="preserve">ical support.                                                                                            - Best interests of the child upheld.                                                                                                                  </w:t>
      </w:r>
      <w:r>
        <w:rPr>
          <w:color w:val="000000"/>
          <w:sz w:val="22"/>
          <w:szCs w:val="22"/>
        </w:rPr>
        <w:t xml:space="preserve">                - Multisectorial planning and coordination.</w:t>
      </w:r>
    </w:p>
    <w:p w14:paraId="0000017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5"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16 - 0.19% Coverage</w:t>
      </w:r>
    </w:p>
    <w:p w14:paraId="00000176"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77"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This review  outlines the urgent need for review of  laws , policies and the development of multisectoral protocols at the national and county level, that outline r</w:t>
      </w:r>
      <w:r>
        <w:rPr>
          <w:color w:val="000000"/>
          <w:sz w:val="22"/>
          <w:szCs w:val="22"/>
        </w:rPr>
        <w:t>oles and responsibilities for various service providers, supervisory and accountability measures and referral networks aimed at ensuring proper handling of matters around child sexual abuse.</w:t>
      </w:r>
    </w:p>
    <w:p w14:paraId="0000017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7A"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6: Reporting, Response and Justice Mechanisms</w:t>
      </w:r>
    </w:p>
    <w:p w14:paraId="0000017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7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&lt;Files\\SRGBV Policy Review BEFORE CODING (2)&gt; - § 14 references coded  [1.04% Coverage]</w:t>
      </w:r>
    </w:p>
    <w:p w14:paraId="0000017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7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1 - 0.02% Coverage</w:t>
      </w:r>
    </w:p>
    <w:p w14:paraId="0000017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8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  GBV Response Centres within health facilities offering comprehensive care services.</w:t>
      </w:r>
    </w:p>
    <w:p w14:paraId="0000018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8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2 - 0.02% Coverage</w:t>
      </w:r>
    </w:p>
    <w:p w14:paraId="0000018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8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Gender Desks at pol</w:t>
      </w:r>
      <w:r>
        <w:rPr>
          <w:rFonts w:ascii="Quattrocento Sans" w:eastAsia="Quattrocento Sans" w:hAnsi="Quattrocento Sans" w:cs="Quattrocento Sans"/>
          <w:color w:val="000000"/>
          <w:sz w:val="20"/>
          <w:szCs w:val="20"/>
        </w:rPr>
        <w:t>ice stations and specialized training curricula for police officers.</w:t>
      </w:r>
    </w:p>
    <w:p w14:paraId="0000018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8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3 - 0.03% Coverage</w:t>
      </w:r>
    </w:p>
    <w:p w14:paraId="0000018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8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Reporting and disciplinary enforcement – Clear mechanisms exist for reporting misconduct, investigations, and sanctions to deter GBV.</w:t>
      </w:r>
    </w:p>
    <w:p w14:paraId="0000018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8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4 - 0.04% Coverage</w:t>
      </w:r>
    </w:p>
    <w:p w14:paraId="0000018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8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Child protection units &amp; alternative care – establishes child protection units in police stations; prioritizes family-based care over institutionalization.</w:t>
      </w:r>
    </w:p>
    <w:p w14:paraId="0000018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8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5 - 0.06% Coverage</w:t>
      </w:r>
    </w:p>
    <w:p w14:paraId="0000018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9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but the inclusion of victim protection,</w:t>
      </w:r>
      <w:r>
        <w:rPr>
          <w:rFonts w:ascii="Quattrocento Sans" w:eastAsia="Quattrocento Sans" w:hAnsi="Quattrocento Sans" w:cs="Quattrocento Sans"/>
          <w:color w:val="000000"/>
          <w:sz w:val="20"/>
          <w:szCs w:val="20"/>
        </w:rPr>
        <w:t xml:space="preserve"> vulnerable witness safeguards, </w:t>
      </w:r>
    </w:p>
    <w:p w14:paraId="0000019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9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6 - 0.19% Coverage</w:t>
      </w:r>
    </w:p>
    <w:p w14:paraId="0000019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9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The paper itself does not explicitly label its findings as a best practice. But it emphasizes that documenting SRGBV in primary settings, especially including sexual harassment (including via </w:t>
      </w:r>
      <w:r>
        <w:rPr>
          <w:rFonts w:ascii="Quattrocento Sans" w:eastAsia="Quattrocento Sans" w:hAnsi="Quattrocento Sans" w:cs="Quattrocento Sans"/>
          <w:color w:val="000000"/>
          <w:sz w:val="20"/>
          <w:szCs w:val="20"/>
        </w:rPr>
        <w:t>social media) and creating safe complaint channels, are promising practices. The methodology (survey plus student voice) could itself be considered good practice.</w:t>
      </w:r>
    </w:p>
    <w:p w14:paraId="0000019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9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7 - 0.05% Coverage</w:t>
      </w:r>
    </w:p>
    <w:p w14:paraId="0000019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9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 Given that many students fear lodging complaints, the study h</w:t>
      </w:r>
      <w:r>
        <w:rPr>
          <w:rFonts w:ascii="Quattrocento Sans" w:eastAsia="Quattrocento Sans" w:hAnsi="Quattrocento Sans" w:cs="Quattrocento Sans"/>
          <w:color w:val="000000"/>
          <w:sz w:val="20"/>
          <w:szCs w:val="20"/>
        </w:rPr>
        <w:t>ighlights the need for safe, trusted, accessible reporting systems and protection for complainants.</w:t>
      </w:r>
    </w:p>
    <w:p w14:paraId="0000019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9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8 - 0.01% Coverage</w:t>
      </w:r>
    </w:p>
    <w:p w14:paraId="0000019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9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Child Protection Helpline</w:t>
      </w:r>
    </w:p>
    <w:p w14:paraId="0000019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9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9 - 0.19% Coverage</w:t>
      </w:r>
    </w:p>
    <w:p w14:paraId="0000019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A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Yes – the Speak Up Boxes are described as a promising best practice in empowering learners, particularly girls, to safely report abuse and receive timely support.</w:t>
      </w:r>
    </w:p>
    <w:p w14:paraId="000001A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A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10 - 0.04% Coverage</w:t>
      </w:r>
    </w:p>
    <w:p w14:paraId="000001A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A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It connects well with the Let Girls Thrive program’s emphas</w:t>
      </w:r>
      <w:r>
        <w:rPr>
          <w:rFonts w:ascii="Quattrocento Sans" w:eastAsia="Quattrocento Sans" w:hAnsi="Quattrocento Sans" w:cs="Quattrocento Sans"/>
          <w:color w:val="000000"/>
          <w:sz w:val="20"/>
          <w:szCs w:val="20"/>
        </w:rPr>
        <w:t>is on empowerment and reporting mechanisms.</w:t>
      </w:r>
    </w:p>
    <w:p w14:paraId="000001A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A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11 - 0.05% Coverage</w:t>
      </w:r>
    </w:p>
    <w:p w14:paraId="000001A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A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The Let Girls Thrive project directly addresses SRGBV through prevention, empowerment, and safe reporting systems.</w:t>
      </w:r>
    </w:p>
    <w:p w14:paraId="000001A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A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12 - 0.09% Coverage</w:t>
      </w:r>
    </w:p>
    <w:p w14:paraId="000001A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A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The study also references the U</w:t>
      </w:r>
      <w:r>
        <w:rPr>
          <w:rFonts w:ascii="Quattrocento Sans" w:eastAsia="Quattrocento Sans" w:hAnsi="Quattrocento Sans" w:cs="Quattrocento Sans"/>
          <w:color w:val="000000"/>
          <w:sz w:val="20"/>
          <w:szCs w:val="20"/>
        </w:rPr>
        <w:t>SA model, where schools are mandated to maintain sexual harassment policies and procedures, reducing reported cases significantly.</w:t>
      </w:r>
    </w:p>
    <w:p w14:paraId="000001A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A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13 - 0.19% Coverage</w:t>
      </w:r>
    </w:p>
    <w:p w14:paraId="000001A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B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Schools are called upon to uphold dialogue-driven approaches in engaging learners, created school specific approaches/policies on prevention, diagnosis and management of SRGBV cases with confidential reporting channels, create links between themselves and </w:t>
      </w:r>
      <w:r>
        <w:rPr>
          <w:rFonts w:ascii="Quattrocento Sans" w:eastAsia="Quattrocento Sans" w:hAnsi="Quattrocento Sans" w:cs="Quattrocento Sans"/>
          <w:color w:val="000000"/>
          <w:sz w:val="20"/>
          <w:szCs w:val="20"/>
        </w:rPr>
        <w:t>external support services like legal, healthcare and counselling and engage the community to change societal norms that permit SRGBV.</w:t>
      </w:r>
    </w:p>
    <w:p w14:paraId="000001B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B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r>
        <w:rPr>
          <w:rFonts w:ascii="Quattrocento Sans" w:eastAsia="Quattrocento Sans" w:hAnsi="Quattrocento Sans" w:cs="Quattrocento Sans"/>
          <w:color w:val="000000"/>
          <w:sz w:val="20"/>
          <w:szCs w:val="20"/>
          <w:shd w:val="clear" w:color="auto" w:fill="D3D3D3"/>
        </w:rPr>
        <w:t>Reference 14 - 0.04% Coverage</w:t>
      </w:r>
    </w:p>
    <w:p w14:paraId="000001B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shd w:val="clear" w:color="auto" w:fill="D3D3D3"/>
        </w:rPr>
      </w:pPr>
    </w:p>
    <w:p w14:paraId="000001B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  Child sexual abuse survivors' entitlement to free legal and medical support.  </w:t>
      </w:r>
    </w:p>
    <w:p w14:paraId="000001B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B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r>
        <w:rPr>
          <w:rFonts w:ascii="Quattrocento Sans" w:eastAsia="Quattrocento Sans" w:hAnsi="Quattrocento Sans" w:cs="Quattrocento Sans"/>
          <w:color w:val="000000"/>
          <w:sz w:val="20"/>
          <w:szCs w:val="20"/>
        </w:rPr>
        <w:t xml:space="preserve">       </w:t>
      </w:r>
      <w:r>
        <w:rPr>
          <w:rFonts w:ascii="Quattrocento Sans" w:eastAsia="Quattrocento Sans" w:hAnsi="Quattrocento Sans" w:cs="Quattrocento Sans"/>
          <w:color w:val="000000"/>
          <w:sz w:val="20"/>
          <w:szCs w:val="20"/>
        </w:rPr>
        <w:t xml:space="preserve">                                           </w:t>
      </w:r>
    </w:p>
    <w:p w14:paraId="000001B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B8"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Quattrocento Sans" w:eastAsia="Quattrocento Sans" w:hAnsi="Quattrocento Sans" w:cs="Quattrocento Sans"/>
          <w:color w:val="000000"/>
          <w:sz w:val="20"/>
          <w:szCs w:val="20"/>
        </w:rPr>
      </w:pPr>
    </w:p>
    <w:p w14:paraId="000001B9" w14:textId="77777777" w:rsidR="007F3902" w:rsidRDefault="005B1604">
      <w:pPr>
        <w:numPr>
          <w:ilvl w:val="0"/>
          <w:numId w:val="1"/>
        </w:num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8"/>
          <w:szCs w:val="28"/>
          <w:highlight w:val="yellow"/>
        </w:rPr>
      </w:pPr>
      <w:r>
        <w:rPr>
          <w:color w:val="000000"/>
          <w:sz w:val="28"/>
          <w:szCs w:val="28"/>
          <w:highlight w:val="yellow"/>
        </w:rPr>
        <w:t>Theme 7: Whole-School Approach</w:t>
      </w:r>
    </w:p>
    <w:p w14:paraId="000001BA"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BB"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&lt;Files\\SRGBV Policy Review BEFORE CODING (2)&gt; - § 12 references coded  [1.13% Coverage]</w:t>
      </w:r>
    </w:p>
    <w:p w14:paraId="000001BC"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BD"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1 - 0.06% Coverage</w:t>
      </w:r>
    </w:p>
    <w:p w14:paraId="000001BE"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B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Child participation platforms (assemblies, drama, music festivals, sports, and clubs) are existing Kenyan education sector practices that have been used successfully to mainstream messages on peace, HIV prevention, and now VAC prevention. </w:t>
      </w:r>
    </w:p>
    <w:p w14:paraId="000001C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2 - 0</w:t>
      </w:r>
      <w:r>
        <w:rPr>
          <w:color w:val="000000"/>
          <w:sz w:val="22"/>
          <w:szCs w:val="22"/>
          <w:shd w:val="clear" w:color="auto" w:fill="D3D3D3"/>
        </w:rPr>
        <w:t>.12% Coverage</w:t>
      </w:r>
    </w:p>
    <w:p w14:paraId="000001C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C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Use of school safety committees involving teachers, learners, and parents to oversee implementation of standards.</w:t>
      </w:r>
    </w:p>
    <w:p w14:paraId="000001C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Integration of safety drills and disaster preparedness exercises into school routines .</w:t>
      </w:r>
    </w:p>
    <w:p w14:paraId="000001C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Guidance and counselling services emb</w:t>
      </w:r>
      <w:r>
        <w:rPr>
          <w:color w:val="000000"/>
          <w:sz w:val="22"/>
          <w:szCs w:val="22"/>
        </w:rPr>
        <w:t>edded into school systems for both learners and teachers.</w:t>
      </w:r>
    </w:p>
    <w:p w14:paraId="000001C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3 - 0.04% Coverage</w:t>
      </w:r>
    </w:p>
    <w:p w14:paraId="000001C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C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Promotion of child participation in safety activities, empowering learners as actors in their own protection.</w:t>
      </w:r>
    </w:p>
    <w:p w14:paraId="000001C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C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4 - 0.06% Coverage</w:t>
      </w:r>
    </w:p>
    <w:p w14:paraId="000001C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D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whole-school approaches (c</w:t>
      </w:r>
      <w:r>
        <w:rPr>
          <w:color w:val="000000"/>
          <w:sz w:val="22"/>
          <w:szCs w:val="22"/>
        </w:rPr>
        <w:t xml:space="preserve">ombining teacher training, community engagement, and legal reforms) </w:t>
      </w:r>
    </w:p>
    <w:p w14:paraId="000001D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D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5 - 0.04% Coverage</w:t>
      </w:r>
    </w:p>
    <w:p w14:paraId="000001D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D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Integration of Menstrual Hygiene Management (MHM) in WASH interventions.</w:t>
      </w:r>
    </w:p>
    <w:p w14:paraId="000001D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D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6 - 0.04% Coverage</w:t>
      </w:r>
    </w:p>
    <w:p w14:paraId="000001D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D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Whole-school approach to SRGBV prevention (UNGEI).</w:t>
      </w:r>
    </w:p>
    <w:p w14:paraId="000001D9"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D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7 - 0.02% Coverage</w:t>
      </w:r>
    </w:p>
    <w:p w14:paraId="000001D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D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 whole-school approaches</w:t>
      </w:r>
    </w:p>
    <w:p w14:paraId="000001D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D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8 - 0.19% Coverage</w:t>
      </w:r>
    </w:p>
    <w:p w14:paraId="000001D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E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Yes. The document identifies the whole-school approach as a global best practice for addressing SRGBV. It is evidence-based, adaptable, and aligned with the socio-ecological model and SDG targets. It represents the “minimum global standard” for effective p</w:t>
      </w:r>
      <w:r>
        <w:rPr>
          <w:color w:val="000000"/>
          <w:sz w:val="22"/>
          <w:szCs w:val="22"/>
        </w:rPr>
        <w:t>revention and response.</w:t>
      </w:r>
    </w:p>
    <w:p w14:paraId="000001E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E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9 - 0.11% Coverage</w:t>
      </w:r>
    </w:p>
    <w:p w14:paraId="000001E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E4"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xml:space="preserve">Yes. The Tuseme model and whole-school STEM mentorship are highlighted as best practices for empowering girls and promoting gender equality. </w:t>
      </w:r>
    </w:p>
    <w:p w14:paraId="000001E5"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E6"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10 - 0.15% Coverage</w:t>
      </w:r>
    </w:p>
    <w:p w14:paraId="000001E7"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E8"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report identifies several effective practices, though not formally labeled “best practice”:</w:t>
      </w:r>
    </w:p>
    <w:p w14:paraId="000001E9"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Girls’ Clubs are noted as particularly effective in raising awareness and empowering girls to report violence.</w:t>
      </w:r>
    </w:p>
    <w:p w14:paraId="000001EA"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 Whole-school approaches (training, policy dev</w:t>
      </w:r>
      <w:r>
        <w:rPr>
          <w:color w:val="000000"/>
          <w:sz w:val="22"/>
          <w:szCs w:val="22"/>
        </w:rPr>
        <w:t>elopment, gender-sensitive management) are cited as promising for institutional change.</w:t>
      </w:r>
    </w:p>
    <w:p w14:paraId="000001EB"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EC"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11 - 0.11% Coverage</w:t>
      </w:r>
    </w:p>
    <w:p w14:paraId="000001ED"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EE"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 study identifies Guidance and Counseling as the most effective strategy and therefore an implicit best practice. Teachers viewed cou</w:t>
      </w:r>
      <w:r>
        <w:rPr>
          <w:color w:val="000000"/>
          <w:sz w:val="22"/>
          <w:szCs w:val="22"/>
        </w:rPr>
        <w:t xml:space="preserve">nseling as essential for psychosocial support and behavior change. </w:t>
      </w:r>
    </w:p>
    <w:p w14:paraId="000001EF"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F0"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r>
        <w:rPr>
          <w:color w:val="000000"/>
          <w:sz w:val="22"/>
          <w:szCs w:val="22"/>
          <w:shd w:val="clear" w:color="auto" w:fill="D3D3D3"/>
        </w:rPr>
        <w:t>Reference 12 - 0.19% Coverage</w:t>
      </w:r>
    </w:p>
    <w:p w14:paraId="000001F1"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shd w:val="clear" w:color="auto" w:fill="D3D3D3"/>
        </w:rPr>
      </w:pPr>
    </w:p>
    <w:p w14:paraId="000001F2" w14:textId="77777777" w:rsidR="007F3902" w:rsidRDefault="005B1604">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r>
        <w:rPr>
          <w:color w:val="000000"/>
          <w:sz w:val="22"/>
          <w:szCs w:val="22"/>
        </w:rPr>
        <w:t>There is a call to develop interventions that go beyond the legal ban on corporal punishments in schools and socus on programs that directly engage learners</w:t>
      </w:r>
      <w:r>
        <w:rPr>
          <w:color w:val="000000"/>
          <w:sz w:val="22"/>
          <w:szCs w:val="22"/>
        </w:rPr>
        <w:t>, mobilize peers, and connect school interventions with home  environments offer promising pathways to safer schools.</w:t>
      </w:r>
    </w:p>
    <w:p w14:paraId="000001F3"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F4" w14:textId="77777777" w:rsidR="007F3902" w:rsidRDefault="007F3902">
      <w:pPr>
        <w:pBdr>
          <w:top w:val="nil"/>
          <w:left w:val="nil"/>
          <w:bottom w:val="nil"/>
          <w:right w:val="nil"/>
          <w:between w:val="nil"/>
        </w:pBd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color w:val="000000"/>
          <w:sz w:val="22"/>
          <w:szCs w:val="22"/>
        </w:rPr>
      </w:pPr>
    </w:p>
    <w:p w14:paraId="000001F5" w14:textId="77777777" w:rsidR="007F3902" w:rsidRDefault="007F3902"/>
    <w:sectPr w:rsidR="007F390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200247B" w:usb2="00000009" w:usb3="00000000" w:csb0="000001FF" w:csb1="00000000"/>
    <w:embedRegular r:id="rId1" w:fontKey="{4B74022C-F42C-4D17-A652-F9CB433085A2}"/>
    <w:embedBold r:id="rId2" w:fontKey="{64FD0A26-D3B5-4E9C-8794-2014779D9A81}"/>
    <w:embedItalic r:id="rId3" w:fontKey="{3E924D60-94A0-484A-AD7C-157363FA1FB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A6CE79BB-FC02-4497-98EE-66336E1925A3}"/>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embedRegular r:id="rId5" w:fontKey="{7C6E12DF-6E95-40CE-8110-2ACDBD0C90A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852197"/>
    <w:multiLevelType w:val="multilevel"/>
    <w:tmpl w:val="A12EE0F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902"/>
    <w:rsid w:val="005B1604"/>
    <w:rsid w:val="007F390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7FD770-0E5D-4CB3-86CA-67784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 w:eastAsia="en-KE"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color w:val="2F5496"/>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C30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sz w:val="56"/>
      <w:szCs w:val="56"/>
    </w:rPr>
  </w:style>
  <w:style w:type="character" w:customStyle="1" w:styleId="Heading1Char">
    <w:name w:val="Heading 1 Char"/>
    <w:basedOn w:val="DefaultParagraphFont"/>
    <w:link w:val="Heading1"/>
    <w:uiPriority w:val="9"/>
    <w:rsid w:val="00C307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07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307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07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07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0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7DF"/>
    <w:rPr>
      <w:rFonts w:eastAsiaTheme="majorEastAsia" w:cstheme="majorBidi"/>
      <w:color w:val="272727" w:themeColor="text1" w:themeTint="D8"/>
    </w:rPr>
  </w:style>
  <w:style w:type="character" w:customStyle="1" w:styleId="TitleChar">
    <w:name w:val="Title Char"/>
    <w:basedOn w:val="DefaultParagraphFont"/>
    <w:link w:val="Title"/>
    <w:uiPriority w:val="10"/>
    <w:rsid w:val="00C307DF"/>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C30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7DF"/>
    <w:pPr>
      <w:spacing w:before="160"/>
      <w:jc w:val="center"/>
    </w:pPr>
    <w:rPr>
      <w:i/>
      <w:iCs/>
      <w:color w:val="404040" w:themeColor="text1" w:themeTint="BF"/>
    </w:rPr>
  </w:style>
  <w:style w:type="character" w:customStyle="1" w:styleId="QuoteChar">
    <w:name w:val="Quote Char"/>
    <w:basedOn w:val="DefaultParagraphFont"/>
    <w:link w:val="Quote"/>
    <w:uiPriority w:val="29"/>
    <w:rsid w:val="00C307DF"/>
    <w:rPr>
      <w:i/>
      <w:iCs/>
      <w:color w:val="404040" w:themeColor="text1" w:themeTint="BF"/>
    </w:rPr>
  </w:style>
  <w:style w:type="paragraph" w:styleId="ListParagraph">
    <w:name w:val="List Paragraph"/>
    <w:basedOn w:val="Normal"/>
    <w:uiPriority w:val="34"/>
    <w:qFormat/>
    <w:rsid w:val="00C307DF"/>
    <w:pPr>
      <w:ind w:left="720"/>
      <w:contextualSpacing/>
    </w:pPr>
  </w:style>
  <w:style w:type="character" w:styleId="IntenseEmphasis">
    <w:name w:val="Intense Emphasis"/>
    <w:basedOn w:val="DefaultParagraphFont"/>
    <w:uiPriority w:val="21"/>
    <w:qFormat/>
    <w:rsid w:val="00C307DF"/>
    <w:rPr>
      <w:i/>
      <w:iCs/>
      <w:color w:val="2F5496" w:themeColor="accent1" w:themeShade="BF"/>
    </w:rPr>
  </w:style>
  <w:style w:type="paragraph" w:styleId="IntenseQuote">
    <w:name w:val="Intense Quote"/>
    <w:basedOn w:val="Normal"/>
    <w:next w:val="Normal"/>
    <w:link w:val="IntenseQuoteChar"/>
    <w:uiPriority w:val="30"/>
    <w:qFormat/>
    <w:rsid w:val="00C307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07DF"/>
    <w:rPr>
      <w:i/>
      <w:iCs/>
      <w:color w:val="2F5496" w:themeColor="accent1" w:themeShade="BF"/>
    </w:rPr>
  </w:style>
  <w:style w:type="character" w:styleId="IntenseReference">
    <w:name w:val="Intense Reference"/>
    <w:basedOn w:val="DefaultParagraphFont"/>
    <w:uiPriority w:val="32"/>
    <w:qFormat/>
    <w:rsid w:val="00C307DF"/>
    <w:rPr>
      <w:b/>
      <w:bCs/>
      <w:smallCaps/>
      <w:color w:val="2F5496" w:themeColor="accent1" w:themeShade="BF"/>
      <w:spacing w:val="5"/>
    </w:rPr>
  </w:style>
  <w:style w:type="paragraph" w:customStyle="1" w:styleId="Normal0">
    <w:name w:val="[Normal]"/>
    <w:qFormat/>
    <w:rsid w:val="00C307DF"/>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pPr>
    <w:rPr>
      <w:rFonts w:ascii="Arial" w:eastAsia="Arial" w:hAnsi="Arial" w:cs="Times New Roman"/>
      <w:szCs w:val="20"/>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2A+d0Ck9BrbLqwBOEKEbsnQX2w==">CgMxLjA4AHIhMVgtY0FNOWRlZkVUQ256a2JucC1SdTNobTR1ckhGcGUz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3899</Words>
  <Characters>22227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Lucy Wakiaga</cp:lastModifiedBy>
  <cp:revision>2</cp:revision>
  <dcterms:created xsi:type="dcterms:W3CDTF">2026-07-01T15:27:00Z</dcterms:created>
  <dcterms:modified xsi:type="dcterms:W3CDTF">2026-07-01T15:27:00Z</dcterms:modified>
</cp:coreProperties>
</file>